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Look w:val="0000" w:firstRow="0" w:lastRow="0" w:firstColumn="0" w:lastColumn="0" w:noHBand="0" w:noVBand="0"/>
      </w:tblPr>
      <w:tblGrid>
        <w:gridCol w:w="3652"/>
        <w:gridCol w:w="567"/>
      </w:tblGrid>
      <w:tr w:rsidR="007F4D5D" w:rsidRPr="00D27365" w14:paraId="62B9A31F" w14:textId="77777777" w:rsidTr="00BB588A">
        <w:trPr>
          <w:gridAfter w:val="1"/>
          <w:wAfter w:w="567" w:type="dxa"/>
          <w:cantSplit/>
        </w:trPr>
        <w:tc>
          <w:tcPr>
            <w:tcW w:w="3652" w:type="dxa"/>
          </w:tcPr>
          <w:p w14:paraId="0D121A5B" w14:textId="77777777" w:rsidR="007F4D5D" w:rsidRPr="00D27365" w:rsidRDefault="007F4D5D" w:rsidP="00BB588A">
            <w:pPr>
              <w:jc w:val="center"/>
              <w:rPr>
                <w:b/>
                <w:sz w:val="24"/>
                <w:szCs w:val="24"/>
                <w:lang w:val="hr-HR"/>
              </w:rPr>
            </w:pPr>
            <w:r w:rsidRPr="00D27365">
              <w:rPr>
                <w:color w:val="FF0000"/>
                <w:sz w:val="24"/>
                <w:szCs w:val="24"/>
                <w:lang w:val="hr-HR"/>
              </w:rPr>
              <w:t xml:space="preserve">  </w:t>
            </w:r>
            <w:r w:rsidRPr="00D27365">
              <w:rPr>
                <w:b/>
                <w:sz w:val="24"/>
                <w:szCs w:val="24"/>
                <w:lang w:val="hr-HR"/>
              </w:rPr>
              <w:br w:type="page"/>
            </w:r>
            <w:r>
              <w:rPr>
                <w:b/>
                <w:noProof/>
                <w:sz w:val="24"/>
                <w:szCs w:val="24"/>
                <w:lang w:val="hr-HR" w:bidi="th-TH"/>
              </w:rPr>
              <w:drawing>
                <wp:inline distT="0" distB="0" distL="0" distR="0" wp14:anchorId="13C2666B" wp14:editId="23DFC46E">
                  <wp:extent cx="510540" cy="629285"/>
                  <wp:effectExtent l="0" t="0" r="3810"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10540" cy="629285"/>
                          </a:xfrm>
                          <a:prstGeom prst="rect">
                            <a:avLst/>
                          </a:prstGeom>
                          <a:noFill/>
                          <a:ln>
                            <a:noFill/>
                          </a:ln>
                        </pic:spPr>
                      </pic:pic>
                    </a:graphicData>
                  </a:graphic>
                </wp:inline>
              </w:drawing>
            </w:r>
          </w:p>
          <w:p w14:paraId="0A89C790" w14:textId="77777777" w:rsidR="007F4D5D" w:rsidRPr="00D27365" w:rsidRDefault="007F4D5D" w:rsidP="00BB588A">
            <w:pPr>
              <w:jc w:val="center"/>
              <w:rPr>
                <w:sz w:val="24"/>
                <w:szCs w:val="24"/>
                <w:lang w:val="hr-HR"/>
              </w:rPr>
            </w:pPr>
            <w:r w:rsidRPr="00D27365">
              <w:rPr>
                <w:b/>
                <w:sz w:val="24"/>
                <w:szCs w:val="24"/>
                <w:lang w:val="hr-HR"/>
              </w:rPr>
              <w:t>REPUBLIKA HRVATSKA</w:t>
            </w:r>
          </w:p>
        </w:tc>
      </w:tr>
      <w:tr w:rsidR="007F4D5D" w:rsidRPr="00D27365" w14:paraId="39941BA4" w14:textId="77777777" w:rsidTr="00BB588A">
        <w:trPr>
          <w:gridAfter w:val="1"/>
          <w:wAfter w:w="567" w:type="dxa"/>
          <w:cantSplit/>
        </w:trPr>
        <w:tc>
          <w:tcPr>
            <w:tcW w:w="3652" w:type="dxa"/>
          </w:tcPr>
          <w:p w14:paraId="06B3C4DE" w14:textId="77777777" w:rsidR="007F4D5D" w:rsidRPr="00D27365" w:rsidRDefault="007F4D5D" w:rsidP="00BB588A">
            <w:pPr>
              <w:jc w:val="center"/>
              <w:rPr>
                <w:b/>
                <w:sz w:val="24"/>
                <w:szCs w:val="24"/>
                <w:lang w:val="hr-HR"/>
              </w:rPr>
            </w:pPr>
            <w:r w:rsidRPr="00D27365">
              <w:rPr>
                <w:b/>
                <w:sz w:val="24"/>
                <w:szCs w:val="24"/>
                <w:lang w:val="hr-HR"/>
              </w:rPr>
              <w:t>ISTARSKA ŽUPANIJA</w:t>
            </w:r>
          </w:p>
        </w:tc>
      </w:tr>
      <w:tr w:rsidR="007F4D5D" w:rsidRPr="00D27365" w14:paraId="21D436A6" w14:textId="77777777" w:rsidTr="00BB588A">
        <w:trPr>
          <w:gridAfter w:val="1"/>
          <w:wAfter w:w="567" w:type="dxa"/>
          <w:cantSplit/>
        </w:trPr>
        <w:tc>
          <w:tcPr>
            <w:tcW w:w="3652" w:type="dxa"/>
          </w:tcPr>
          <w:p w14:paraId="01F535C1" w14:textId="77777777" w:rsidR="007F4D5D" w:rsidRPr="00D27365" w:rsidRDefault="007F4D5D" w:rsidP="00BB588A">
            <w:pPr>
              <w:jc w:val="both"/>
              <w:rPr>
                <w:b/>
                <w:sz w:val="24"/>
                <w:szCs w:val="24"/>
                <w:lang w:val="hr-HR"/>
              </w:rPr>
            </w:pPr>
            <w:r w:rsidRPr="00D27365">
              <w:rPr>
                <w:b/>
                <w:sz w:val="24"/>
                <w:szCs w:val="24"/>
                <w:lang w:val="hr-HR"/>
              </w:rPr>
              <w:t xml:space="preserve">    GRAD POREČ - PARENZO </w:t>
            </w:r>
          </w:p>
          <w:p w14:paraId="371BD20E" w14:textId="77777777" w:rsidR="007F4D5D" w:rsidRPr="00D27365" w:rsidRDefault="007F4D5D" w:rsidP="00BB588A">
            <w:pPr>
              <w:jc w:val="both"/>
              <w:rPr>
                <w:b/>
                <w:sz w:val="24"/>
                <w:szCs w:val="24"/>
                <w:lang w:val="hr-HR"/>
              </w:rPr>
            </w:pPr>
            <w:r w:rsidRPr="00D27365">
              <w:rPr>
                <w:b/>
                <w:sz w:val="24"/>
                <w:szCs w:val="24"/>
                <w:lang w:val="hr-HR"/>
              </w:rPr>
              <w:t>CITTÀ DI POREČ - PARENZO</w:t>
            </w:r>
          </w:p>
          <w:p w14:paraId="41562B9E" w14:textId="77777777" w:rsidR="007F4D5D" w:rsidRPr="00D27365" w:rsidRDefault="007F4D5D" w:rsidP="00BB588A">
            <w:pPr>
              <w:jc w:val="center"/>
              <w:rPr>
                <w:b/>
                <w:sz w:val="24"/>
                <w:szCs w:val="24"/>
                <w:lang w:val="hr-HR"/>
              </w:rPr>
            </w:pPr>
            <w:r w:rsidRPr="00D27365">
              <w:rPr>
                <w:b/>
                <w:sz w:val="24"/>
                <w:szCs w:val="24"/>
                <w:lang w:val="hr-HR"/>
              </w:rPr>
              <w:t>Gradonačelnik</w:t>
            </w:r>
          </w:p>
        </w:tc>
      </w:tr>
      <w:tr w:rsidR="007F4D5D" w:rsidRPr="00D27365" w14:paraId="146131D4" w14:textId="77777777" w:rsidTr="00BB588A">
        <w:trPr>
          <w:cantSplit/>
        </w:trPr>
        <w:tc>
          <w:tcPr>
            <w:tcW w:w="4219" w:type="dxa"/>
            <w:gridSpan w:val="2"/>
          </w:tcPr>
          <w:p w14:paraId="65414782" w14:textId="68FF207A" w:rsidR="007F4D5D" w:rsidRPr="00D27365" w:rsidRDefault="007F4D5D" w:rsidP="00BB588A">
            <w:pPr>
              <w:jc w:val="both"/>
              <w:rPr>
                <w:b/>
                <w:sz w:val="24"/>
                <w:szCs w:val="24"/>
                <w:lang w:val="hr-HR"/>
              </w:rPr>
            </w:pPr>
            <w:r w:rsidRPr="00D27365">
              <w:rPr>
                <w:b/>
                <w:sz w:val="24"/>
                <w:szCs w:val="24"/>
                <w:lang w:val="hr-HR"/>
              </w:rPr>
              <w:t xml:space="preserve">KLASA: </w:t>
            </w:r>
            <w:r w:rsidR="007C4DC5">
              <w:rPr>
                <w:b/>
                <w:sz w:val="24"/>
                <w:szCs w:val="24"/>
                <w:lang w:val="hr-HR"/>
              </w:rPr>
              <w:t>024-01/25-01/381</w:t>
            </w:r>
          </w:p>
        </w:tc>
      </w:tr>
      <w:tr w:rsidR="007F4D5D" w:rsidRPr="00D27365" w14:paraId="63A24F4F" w14:textId="77777777" w:rsidTr="00BB588A">
        <w:trPr>
          <w:cantSplit/>
        </w:trPr>
        <w:tc>
          <w:tcPr>
            <w:tcW w:w="4219" w:type="dxa"/>
            <w:gridSpan w:val="2"/>
          </w:tcPr>
          <w:p w14:paraId="6FC13F32" w14:textId="29E9D4B6" w:rsidR="007F4D5D" w:rsidRPr="00D27365" w:rsidRDefault="007F4D5D" w:rsidP="00BB588A">
            <w:pPr>
              <w:jc w:val="both"/>
              <w:rPr>
                <w:b/>
                <w:sz w:val="24"/>
                <w:szCs w:val="24"/>
                <w:lang w:val="hr-HR"/>
              </w:rPr>
            </w:pPr>
            <w:r w:rsidRPr="00D27365">
              <w:rPr>
                <w:b/>
                <w:sz w:val="24"/>
                <w:szCs w:val="24"/>
                <w:lang w:val="hr-HR"/>
              </w:rPr>
              <w:t>URBROJ:</w:t>
            </w:r>
            <w:r w:rsidR="007C4DC5">
              <w:rPr>
                <w:b/>
                <w:sz w:val="24"/>
                <w:szCs w:val="24"/>
                <w:lang w:val="hr-HR"/>
              </w:rPr>
              <w:t xml:space="preserve"> 2163-6-09/01-25-2</w:t>
            </w:r>
            <w:r w:rsidRPr="00D27365">
              <w:rPr>
                <w:b/>
                <w:sz w:val="24"/>
                <w:szCs w:val="24"/>
                <w:lang w:val="hr-HR"/>
              </w:rPr>
              <w:t xml:space="preserve"> </w:t>
            </w:r>
          </w:p>
        </w:tc>
      </w:tr>
      <w:tr w:rsidR="007F4D5D" w:rsidRPr="00D27365" w14:paraId="1D1375C6" w14:textId="77777777" w:rsidTr="00BB588A">
        <w:trPr>
          <w:cantSplit/>
        </w:trPr>
        <w:tc>
          <w:tcPr>
            <w:tcW w:w="4219" w:type="dxa"/>
            <w:gridSpan w:val="2"/>
          </w:tcPr>
          <w:p w14:paraId="64C96423" w14:textId="7AEA4CC5" w:rsidR="007F4D5D" w:rsidRPr="00D27365" w:rsidRDefault="007F4D5D" w:rsidP="00BB588A">
            <w:pPr>
              <w:ind w:right="-675"/>
              <w:jc w:val="both"/>
              <w:rPr>
                <w:b/>
                <w:sz w:val="24"/>
                <w:szCs w:val="24"/>
                <w:lang w:val="hr-HR"/>
              </w:rPr>
            </w:pPr>
            <w:r w:rsidRPr="00D27365">
              <w:rPr>
                <w:b/>
                <w:sz w:val="24"/>
                <w:szCs w:val="24"/>
                <w:lang w:val="hr-HR"/>
              </w:rPr>
              <w:t>Poreč-Parenzo</w:t>
            </w:r>
            <w:r w:rsidR="00E3689F">
              <w:rPr>
                <w:b/>
                <w:sz w:val="24"/>
                <w:szCs w:val="24"/>
                <w:lang w:val="hr-HR"/>
              </w:rPr>
              <w:t>,</w:t>
            </w:r>
            <w:r w:rsidR="007C4DC5">
              <w:rPr>
                <w:b/>
                <w:sz w:val="24"/>
                <w:szCs w:val="24"/>
                <w:lang w:val="hr-HR"/>
              </w:rPr>
              <w:t xml:space="preserve"> 6. listopada 2025.</w:t>
            </w:r>
          </w:p>
        </w:tc>
      </w:tr>
    </w:tbl>
    <w:p w14:paraId="0E99E55B" w14:textId="77777777" w:rsidR="007F4D5D" w:rsidRPr="00D27365" w:rsidRDefault="007F4D5D" w:rsidP="007F4D5D">
      <w:pPr>
        <w:jc w:val="center"/>
        <w:rPr>
          <w:b/>
          <w:bCs/>
          <w:sz w:val="24"/>
          <w:szCs w:val="24"/>
          <w:lang w:val="hr-HR"/>
        </w:rPr>
      </w:pPr>
    </w:p>
    <w:p w14:paraId="41007EEB" w14:textId="40EFA7C3" w:rsidR="007F4D5D" w:rsidRPr="00D27365" w:rsidRDefault="007F4D5D" w:rsidP="007F4D5D">
      <w:pPr>
        <w:ind w:firstLine="720"/>
        <w:jc w:val="both"/>
        <w:rPr>
          <w:b/>
          <w:bCs/>
          <w:sz w:val="24"/>
          <w:szCs w:val="24"/>
          <w:lang w:val="hr-HR"/>
        </w:rPr>
      </w:pPr>
      <w:r w:rsidRPr="00D27365">
        <w:rPr>
          <w:sz w:val="24"/>
          <w:szCs w:val="24"/>
          <w:lang w:val="hr-HR"/>
        </w:rPr>
        <w:t xml:space="preserve">Na temelju </w:t>
      </w:r>
      <w:r w:rsidRPr="00D27365">
        <w:rPr>
          <w:bCs/>
          <w:sz w:val="24"/>
          <w:szCs w:val="24"/>
          <w:lang w:val="hr-HR"/>
        </w:rPr>
        <w:t>članka 53. Statuta Grada Poreča-Parenzo („Službeni glasnik Grada Poreča</w:t>
      </w:r>
      <w:r w:rsidR="00FF73ED">
        <w:rPr>
          <w:bCs/>
          <w:sz w:val="24"/>
          <w:szCs w:val="24"/>
          <w:lang w:val="hr-HR"/>
        </w:rPr>
        <w:t>-Parenzo</w:t>
      </w:r>
      <w:r w:rsidRPr="00D27365">
        <w:rPr>
          <w:bCs/>
          <w:sz w:val="24"/>
          <w:szCs w:val="24"/>
          <w:lang w:val="hr-HR"/>
        </w:rPr>
        <w:t>” broj 2/13</w:t>
      </w:r>
      <w:r w:rsidR="005946A7">
        <w:rPr>
          <w:bCs/>
          <w:sz w:val="24"/>
          <w:szCs w:val="24"/>
          <w:lang w:val="hr-HR"/>
        </w:rPr>
        <w:t>,</w:t>
      </w:r>
      <w:r>
        <w:rPr>
          <w:bCs/>
          <w:sz w:val="24"/>
          <w:szCs w:val="24"/>
          <w:lang w:val="hr-HR"/>
        </w:rPr>
        <w:t xml:space="preserve"> 10/18</w:t>
      </w:r>
      <w:r w:rsidR="003C6D44">
        <w:rPr>
          <w:bCs/>
          <w:sz w:val="24"/>
          <w:szCs w:val="24"/>
          <w:lang w:val="hr-HR"/>
        </w:rPr>
        <w:t xml:space="preserve">, </w:t>
      </w:r>
      <w:r w:rsidR="005946A7">
        <w:rPr>
          <w:bCs/>
          <w:sz w:val="24"/>
          <w:szCs w:val="24"/>
          <w:lang w:val="hr-HR"/>
        </w:rPr>
        <w:t>2/21</w:t>
      </w:r>
      <w:r w:rsidR="003C6D44">
        <w:rPr>
          <w:bCs/>
          <w:sz w:val="24"/>
          <w:szCs w:val="24"/>
          <w:lang w:val="hr-HR"/>
        </w:rPr>
        <w:t xml:space="preserve"> i 12/24</w:t>
      </w:r>
      <w:r w:rsidRPr="00D27365">
        <w:rPr>
          <w:bCs/>
          <w:sz w:val="24"/>
          <w:szCs w:val="24"/>
          <w:lang w:val="hr-HR"/>
        </w:rPr>
        <w:t xml:space="preserve">), </w:t>
      </w:r>
      <w:r w:rsidRPr="00D27365">
        <w:rPr>
          <w:sz w:val="24"/>
          <w:szCs w:val="24"/>
          <w:lang w:val="hr-HR"/>
        </w:rPr>
        <w:t xml:space="preserve">na prijedlog Upravnog </w:t>
      </w:r>
      <w:r>
        <w:rPr>
          <w:sz w:val="24"/>
          <w:szCs w:val="24"/>
          <w:lang w:val="hr-HR"/>
        </w:rPr>
        <w:t>odjela za društvene djelatnosti KLASA:</w:t>
      </w:r>
      <w:r w:rsidR="00A4004B">
        <w:rPr>
          <w:sz w:val="24"/>
          <w:szCs w:val="24"/>
          <w:lang w:val="hr-HR"/>
        </w:rPr>
        <w:t xml:space="preserve"> </w:t>
      </w:r>
      <w:r w:rsidR="00A4004B" w:rsidRPr="00A4004B">
        <w:rPr>
          <w:sz w:val="24"/>
          <w:szCs w:val="24"/>
          <w:lang w:val="hr-HR"/>
        </w:rPr>
        <w:t>602-02/25-01/41</w:t>
      </w:r>
      <w:r>
        <w:rPr>
          <w:sz w:val="24"/>
          <w:szCs w:val="24"/>
          <w:lang w:val="hr-HR"/>
        </w:rPr>
        <w:t xml:space="preserve"> URBROJ:</w:t>
      </w:r>
      <w:r w:rsidR="00A4004B">
        <w:rPr>
          <w:sz w:val="24"/>
          <w:szCs w:val="24"/>
          <w:lang w:val="hr-HR"/>
        </w:rPr>
        <w:t xml:space="preserve"> </w:t>
      </w:r>
      <w:r w:rsidR="00A4004B" w:rsidRPr="00A4004B">
        <w:rPr>
          <w:sz w:val="24"/>
          <w:szCs w:val="24"/>
          <w:lang w:val="hr-HR"/>
        </w:rPr>
        <w:t>2163-6-21/05-25-2</w:t>
      </w:r>
      <w:r w:rsidR="00A4004B">
        <w:rPr>
          <w:sz w:val="24"/>
          <w:szCs w:val="24"/>
          <w:lang w:val="hr-HR"/>
        </w:rPr>
        <w:t xml:space="preserve"> </w:t>
      </w:r>
      <w:r>
        <w:rPr>
          <w:sz w:val="24"/>
          <w:szCs w:val="24"/>
          <w:lang w:val="hr-HR"/>
        </w:rPr>
        <w:t>od</w:t>
      </w:r>
      <w:r w:rsidR="00A4004B">
        <w:rPr>
          <w:sz w:val="24"/>
          <w:szCs w:val="24"/>
          <w:lang w:val="hr-HR"/>
        </w:rPr>
        <w:t xml:space="preserve"> </w:t>
      </w:r>
      <w:r w:rsidR="00A4004B" w:rsidRPr="00A4004B">
        <w:rPr>
          <w:sz w:val="24"/>
          <w:szCs w:val="24"/>
          <w:lang w:val="hr-HR"/>
        </w:rPr>
        <w:t>3.10.2025.</w:t>
      </w:r>
      <w:r w:rsidR="00A4004B">
        <w:rPr>
          <w:sz w:val="24"/>
          <w:szCs w:val="24"/>
          <w:lang w:val="hr-HR"/>
        </w:rPr>
        <w:t xml:space="preserve">, </w:t>
      </w:r>
      <w:r w:rsidRPr="00D27365">
        <w:rPr>
          <w:sz w:val="24"/>
          <w:szCs w:val="24"/>
          <w:lang w:val="hr-HR"/>
        </w:rPr>
        <w:t xml:space="preserve">Gradonačelnik Grada Poreča-Parenzo donio </w:t>
      </w:r>
      <w:r>
        <w:rPr>
          <w:sz w:val="24"/>
          <w:szCs w:val="24"/>
          <w:lang w:val="hr-HR"/>
        </w:rPr>
        <w:t xml:space="preserve">je </w:t>
      </w:r>
      <w:r w:rsidR="007C4DC5">
        <w:rPr>
          <w:sz w:val="24"/>
          <w:szCs w:val="24"/>
          <w:lang w:val="hr-HR"/>
        </w:rPr>
        <w:t xml:space="preserve">6. listopada </w:t>
      </w:r>
      <w:r>
        <w:rPr>
          <w:sz w:val="24"/>
          <w:szCs w:val="24"/>
          <w:lang w:val="hr-HR"/>
        </w:rPr>
        <w:t>202</w:t>
      </w:r>
      <w:r w:rsidR="00D41B71">
        <w:rPr>
          <w:sz w:val="24"/>
          <w:szCs w:val="24"/>
          <w:lang w:val="hr-HR"/>
        </w:rPr>
        <w:t>5</w:t>
      </w:r>
      <w:r>
        <w:rPr>
          <w:sz w:val="24"/>
          <w:szCs w:val="24"/>
          <w:lang w:val="hr-HR"/>
        </w:rPr>
        <w:t xml:space="preserve">. godine </w:t>
      </w:r>
      <w:r w:rsidRPr="00D27365">
        <w:rPr>
          <w:sz w:val="24"/>
          <w:szCs w:val="24"/>
          <w:lang w:val="hr-HR"/>
        </w:rPr>
        <w:t>sljedeći</w:t>
      </w:r>
    </w:p>
    <w:p w14:paraId="4B11D350" w14:textId="77777777" w:rsidR="007F4D5D" w:rsidRPr="00D27365" w:rsidRDefault="007F4D5D" w:rsidP="007F4D5D">
      <w:pPr>
        <w:rPr>
          <w:b/>
          <w:bCs/>
          <w:sz w:val="24"/>
          <w:szCs w:val="24"/>
          <w:lang w:val="hr-HR"/>
        </w:rPr>
      </w:pPr>
      <w:r w:rsidRPr="00D27365">
        <w:rPr>
          <w:b/>
          <w:bCs/>
          <w:sz w:val="24"/>
          <w:szCs w:val="24"/>
          <w:lang w:val="hr-HR"/>
        </w:rPr>
        <w:t xml:space="preserve"> </w:t>
      </w:r>
    </w:p>
    <w:p w14:paraId="05E48B05" w14:textId="77777777" w:rsidR="007F4D5D" w:rsidRPr="00D27365" w:rsidRDefault="007F4D5D" w:rsidP="007F4D5D">
      <w:pPr>
        <w:jc w:val="center"/>
        <w:rPr>
          <w:b/>
          <w:bCs/>
          <w:sz w:val="24"/>
          <w:szCs w:val="24"/>
          <w:lang w:val="hr-HR"/>
        </w:rPr>
      </w:pPr>
      <w:r w:rsidRPr="00D27365">
        <w:rPr>
          <w:b/>
          <w:bCs/>
          <w:sz w:val="24"/>
          <w:szCs w:val="24"/>
          <w:lang w:val="hr-HR"/>
        </w:rPr>
        <w:t>ZAKLJUČAK</w:t>
      </w:r>
    </w:p>
    <w:p w14:paraId="2BB5E1F6" w14:textId="77777777" w:rsidR="007F4D5D" w:rsidRPr="00D27365" w:rsidRDefault="007F4D5D" w:rsidP="007F4D5D">
      <w:pPr>
        <w:jc w:val="center"/>
        <w:rPr>
          <w:b/>
          <w:bCs/>
          <w:sz w:val="24"/>
          <w:szCs w:val="24"/>
          <w:lang w:val="hr-HR"/>
        </w:rPr>
      </w:pPr>
    </w:p>
    <w:p w14:paraId="1D616D4E" w14:textId="4503AC85" w:rsidR="005B0B59" w:rsidRPr="005B0B59" w:rsidRDefault="005B0B59" w:rsidP="005B0B59">
      <w:pPr>
        <w:pStyle w:val="Odlomakpopisa"/>
        <w:numPr>
          <w:ilvl w:val="0"/>
          <w:numId w:val="7"/>
        </w:numPr>
        <w:jc w:val="both"/>
        <w:rPr>
          <w:sz w:val="24"/>
          <w:szCs w:val="24"/>
          <w:lang w:val="hr-HR"/>
        </w:rPr>
      </w:pPr>
      <w:r w:rsidRPr="005B0B59">
        <w:rPr>
          <w:sz w:val="24"/>
          <w:szCs w:val="24"/>
          <w:lang w:val="hr-HR"/>
        </w:rPr>
        <w:t>Utvrđuje se prijedlog Odluke o davanju prethodne suglasnosti na proširenje djelatnosti</w:t>
      </w:r>
      <w:r>
        <w:rPr>
          <w:sz w:val="24"/>
          <w:szCs w:val="24"/>
          <w:lang w:val="hr-HR"/>
        </w:rPr>
        <w:t xml:space="preserve"> </w:t>
      </w:r>
      <w:r w:rsidRPr="005B0B59">
        <w:rPr>
          <w:sz w:val="24"/>
          <w:szCs w:val="24"/>
          <w:lang w:val="hr-HR"/>
        </w:rPr>
        <w:t>Umjetničke škole Poreč te se dostavlja Gradskom vijeću na razmatranje i donošenje u priloženom tekstu.</w:t>
      </w:r>
    </w:p>
    <w:p w14:paraId="3DAB128B" w14:textId="77777777" w:rsidR="005B0B59" w:rsidRPr="005B0B59" w:rsidRDefault="005B0B59" w:rsidP="005B0B59">
      <w:pPr>
        <w:jc w:val="both"/>
        <w:rPr>
          <w:sz w:val="24"/>
          <w:szCs w:val="24"/>
          <w:lang w:val="hr-HR"/>
        </w:rPr>
      </w:pPr>
    </w:p>
    <w:p w14:paraId="5969C8B0" w14:textId="26962191" w:rsidR="007F4D5D" w:rsidRPr="005B0B59" w:rsidRDefault="005B0B59" w:rsidP="005B0B59">
      <w:pPr>
        <w:pStyle w:val="Odlomakpopisa"/>
        <w:numPr>
          <w:ilvl w:val="0"/>
          <w:numId w:val="7"/>
        </w:numPr>
        <w:jc w:val="both"/>
        <w:rPr>
          <w:bCs/>
          <w:sz w:val="24"/>
          <w:szCs w:val="24"/>
          <w:lang w:val="hr-HR"/>
        </w:rPr>
      </w:pPr>
      <w:r w:rsidRPr="005B0B59">
        <w:rPr>
          <w:sz w:val="24"/>
          <w:szCs w:val="24"/>
          <w:lang w:val="hr-HR"/>
        </w:rPr>
        <w:t xml:space="preserve">Na sjednici Gradskog vijeća Grada Poreča-Parenzo, sva potrebna tumačenja uz </w:t>
      </w:r>
      <w:r w:rsidR="000A0604">
        <w:rPr>
          <w:sz w:val="24"/>
          <w:szCs w:val="24"/>
          <w:lang w:val="hr-HR"/>
        </w:rPr>
        <w:t>predloženu Odluku</w:t>
      </w:r>
      <w:r w:rsidRPr="005B0B59">
        <w:rPr>
          <w:sz w:val="24"/>
          <w:szCs w:val="24"/>
          <w:lang w:val="hr-HR"/>
        </w:rPr>
        <w:t>, dat će Tihana Mikulčić</w:t>
      </w:r>
      <w:r w:rsidR="007C4DC5">
        <w:rPr>
          <w:sz w:val="24"/>
          <w:szCs w:val="24"/>
          <w:lang w:val="hr-HR"/>
        </w:rPr>
        <w:t>,</w:t>
      </w:r>
      <w:r w:rsidRPr="005B0B59">
        <w:rPr>
          <w:sz w:val="24"/>
          <w:szCs w:val="24"/>
          <w:lang w:val="hr-HR"/>
        </w:rPr>
        <w:t xml:space="preserve"> pročelnica Upravnog odjela za društvene djelatnosti.</w:t>
      </w:r>
    </w:p>
    <w:p w14:paraId="621EBE2E" w14:textId="77777777" w:rsidR="007F4D5D" w:rsidRPr="00D27365" w:rsidRDefault="007F4D5D" w:rsidP="007C4DC5">
      <w:pPr>
        <w:jc w:val="both"/>
        <w:rPr>
          <w:b/>
          <w:bCs/>
          <w:sz w:val="24"/>
          <w:szCs w:val="24"/>
          <w:lang w:val="hr-HR"/>
        </w:rPr>
      </w:pPr>
    </w:p>
    <w:p w14:paraId="5072DFD3" w14:textId="2365C21B" w:rsidR="007F4D5D" w:rsidRPr="00D27365" w:rsidRDefault="007C4DC5" w:rsidP="007F4D5D">
      <w:pPr>
        <w:ind w:left="5040" w:firstLine="720"/>
        <w:jc w:val="both"/>
        <w:rPr>
          <w:b/>
          <w:bCs/>
          <w:sz w:val="24"/>
          <w:szCs w:val="24"/>
          <w:lang w:val="hr-HR"/>
        </w:rPr>
      </w:pPr>
      <w:r>
        <w:rPr>
          <w:b/>
          <w:bCs/>
          <w:sz w:val="24"/>
          <w:szCs w:val="24"/>
          <w:lang w:val="hr-HR"/>
        </w:rPr>
        <w:t xml:space="preserve">             </w:t>
      </w:r>
      <w:r w:rsidR="007F4D5D" w:rsidRPr="00D27365">
        <w:rPr>
          <w:b/>
          <w:bCs/>
          <w:sz w:val="24"/>
          <w:szCs w:val="24"/>
          <w:lang w:val="hr-HR"/>
        </w:rPr>
        <w:t>GRADONAČELNIK</w:t>
      </w:r>
    </w:p>
    <w:p w14:paraId="620177D1" w14:textId="1691EA82" w:rsidR="007F4D5D" w:rsidRPr="001A048B" w:rsidRDefault="007F4D5D" w:rsidP="007F4D5D">
      <w:pPr>
        <w:pStyle w:val="Bezproreda"/>
        <w:rPr>
          <w:b/>
          <w:bCs/>
          <w:sz w:val="24"/>
          <w:szCs w:val="24"/>
          <w:lang w:val="hr-HR"/>
        </w:rPr>
      </w:pPr>
      <w:r w:rsidRPr="00D27365">
        <w:rPr>
          <w:sz w:val="24"/>
          <w:szCs w:val="24"/>
          <w:lang w:val="hr-HR"/>
        </w:rPr>
        <w:tab/>
      </w:r>
      <w:r w:rsidRPr="00D27365">
        <w:rPr>
          <w:sz w:val="24"/>
          <w:szCs w:val="24"/>
          <w:lang w:val="hr-HR"/>
        </w:rPr>
        <w:tab/>
      </w:r>
      <w:r w:rsidRPr="00D27365">
        <w:rPr>
          <w:sz w:val="24"/>
          <w:szCs w:val="24"/>
          <w:lang w:val="hr-HR"/>
        </w:rPr>
        <w:tab/>
      </w:r>
      <w:r w:rsidRPr="00D27365">
        <w:rPr>
          <w:sz w:val="24"/>
          <w:szCs w:val="24"/>
          <w:lang w:val="hr-HR"/>
        </w:rPr>
        <w:tab/>
      </w:r>
      <w:r w:rsidRPr="00D27365">
        <w:rPr>
          <w:sz w:val="24"/>
          <w:szCs w:val="24"/>
          <w:lang w:val="hr-HR"/>
        </w:rPr>
        <w:tab/>
      </w:r>
      <w:r w:rsidRPr="00D27365">
        <w:rPr>
          <w:sz w:val="24"/>
          <w:szCs w:val="24"/>
          <w:lang w:val="hr-HR"/>
        </w:rPr>
        <w:tab/>
        <w:t xml:space="preserve">                              </w:t>
      </w:r>
      <w:r w:rsidR="007C4DC5">
        <w:rPr>
          <w:sz w:val="24"/>
          <w:szCs w:val="24"/>
          <w:lang w:val="hr-HR"/>
        </w:rPr>
        <w:t xml:space="preserve">             </w:t>
      </w:r>
      <w:r w:rsidRPr="00D27365">
        <w:rPr>
          <w:sz w:val="24"/>
          <w:szCs w:val="24"/>
          <w:lang w:val="hr-HR"/>
        </w:rPr>
        <w:t xml:space="preserve">  </w:t>
      </w:r>
      <w:r w:rsidRPr="001A048B">
        <w:rPr>
          <w:b/>
          <w:bCs/>
          <w:sz w:val="24"/>
          <w:szCs w:val="24"/>
          <w:lang w:val="hr-HR"/>
        </w:rPr>
        <w:t>Loris Peršurić</w:t>
      </w:r>
    </w:p>
    <w:p w14:paraId="6D5E88C8" w14:textId="77777777" w:rsidR="007F4D5D" w:rsidRPr="00D27365" w:rsidRDefault="007F4D5D" w:rsidP="007F4D5D">
      <w:pPr>
        <w:jc w:val="both"/>
        <w:rPr>
          <w:b/>
          <w:sz w:val="22"/>
          <w:szCs w:val="22"/>
          <w:lang w:val="hr-HR"/>
        </w:rPr>
      </w:pPr>
    </w:p>
    <w:p w14:paraId="5EB24429" w14:textId="76DE42E8" w:rsidR="007F4D5D" w:rsidRDefault="007F4D5D" w:rsidP="007F4D5D">
      <w:pPr>
        <w:jc w:val="both"/>
        <w:rPr>
          <w:b/>
          <w:sz w:val="22"/>
          <w:szCs w:val="22"/>
          <w:lang w:val="hr-HR"/>
        </w:rPr>
      </w:pPr>
    </w:p>
    <w:p w14:paraId="47B9BBA3" w14:textId="3B6031B5" w:rsidR="007C4DC5" w:rsidRDefault="007C4DC5" w:rsidP="007F4D5D">
      <w:pPr>
        <w:jc w:val="both"/>
        <w:rPr>
          <w:b/>
          <w:sz w:val="22"/>
          <w:szCs w:val="22"/>
          <w:lang w:val="hr-HR"/>
        </w:rPr>
      </w:pPr>
    </w:p>
    <w:p w14:paraId="745FD041" w14:textId="1AC55636" w:rsidR="007C4DC5" w:rsidRDefault="007C4DC5" w:rsidP="007F4D5D">
      <w:pPr>
        <w:jc w:val="both"/>
        <w:rPr>
          <w:b/>
          <w:sz w:val="22"/>
          <w:szCs w:val="22"/>
          <w:lang w:val="hr-HR"/>
        </w:rPr>
      </w:pPr>
    </w:p>
    <w:p w14:paraId="1F890E31" w14:textId="67F22698" w:rsidR="007C4DC5" w:rsidRDefault="007C4DC5" w:rsidP="007F4D5D">
      <w:pPr>
        <w:jc w:val="both"/>
        <w:rPr>
          <w:b/>
          <w:sz w:val="22"/>
          <w:szCs w:val="22"/>
          <w:lang w:val="hr-HR"/>
        </w:rPr>
      </w:pPr>
    </w:p>
    <w:p w14:paraId="4FBF8948" w14:textId="020276DC" w:rsidR="007C4DC5" w:rsidRDefault="007C4DC5" w:rsidP="007F4D5D">
      <w:pPr>
        <w:jc w:val="both"/>
        <w:rPr>
          <w:b/>
          <w:sz w:val="22"/>
          <w:szCs w:val="22"/>
          <w:lang w:val="hr-HR"/>
        </w:rPr>
      </w:pPr>
    </w:p>
    <w:p w14:paraId="33969862" w14:textId="3360C5DD" w:rsidR="007C4DC5" w:rsidRDefault="007C4DC5" w:rsidP="007F4D5D">
      <w:pPr>
        <w:jc w:val="both"/>
        <w:rPr>
          <w:b/>
          <w:sz w:val="22"/>
          <w:szCs w:val="22"/>
          <w:lang w:val="hr-HR"/>
        </w:rPr>
      </w:pPr>
    </w:p>
    <w:p w14:paraId="22938D19" w14:textId="1198BB72" w:rsidR="007C4DC5" w:rsidRDefault="007C4DC5" w:rsidP="007F4D5D">
      <w:pPr>
        <w:jc w:val="both"/>
        <w:rPr>
          <w:b/>
          <w:sz w:val="22"/>
          <w:szCs w:val="22"/>
          <w:lang w:val="hr-HR"/>
        </w:rPr>
      </w:pPr>
    </w:p>
    <w:p w14:paraId="2B5BC335" w14:textId="7A5C83F8" w:rsidR="007C4DC5" w:rsidRDefault="007C4DC5" w:rsidP="007F4D5D">
      <w:pPr>
        <w:jc w:val="both"/>
        <w:rPr>
          <w:b/>
          <w:sz w:val="22"/>
          <w:szCs w:val="22"/>
          <w:lang w:val="hr-HR"/>
        </w:rPr>
      </w:pPr>
    </w:p>
    <w:p w14:paraId="4A3FB861" w14:textId="099141AD" w:rsidR="007C4DC5" w:rsidRDefault="007C4DC5" w:rsidP="007F4D5D">
      <w:pPr>
        <w:jc w:val="both"/>
        <w:rPr>
          <w:b/>
          <w:sz w:val="22"/>
          <w:szCs w:val="22"/>
          <w:lang w:val="hr-HR"/>
        </w:rPr>
      </w:pPr>
    </w:p>
    <w:p w14:paraId="2491348F" w14:textId="77777777" w:rsidR="007C4DC5" w:rsidRPr="00D27365" w:rsidRDefault="007C4DC5" w:rsidP="007F4D5D">
      <w:pPr>
        <w:jc w:val="both"/>
        <w:rPr>
          <w:b/>
          <w:sz w:val="22"/>
          <w:szCs w:val="22"/>
          <w:lang w:val="hr-HR"/>
        </w:rPr>
      </w:pPr>
    </w:p>
    <w:p w14:paraId="31936288" w14:textId="77777777" w:rsidR="001A048B" w:rsidRDefault="001A048B" w:rsidP="007F4D5D">
      <w:pPr>
        <w:jc w:val="both"/>
        <w:rPr>
          <w:b/>
          <w:sz w:val="24"/>
          <w:szCs w:val="24"/>
          <w:lang w:val="hr-HR"/>
        </w:rPr>
      </w:pPr>
    </w:p>
    <w:p w14:paraId="78BBBB81" w14:textId="163F5E43" w:rsidR="001A048B" w:rsidRPr="001A048B" w:rsidRDefault="001A048B" w:rsidP="001A048B">
      <w:pPr>
        <w:rPr>
          <w:b/>
          <w:bCs/>
          <w:sz w:val="24"/>
          <w:szCs w:val="24"/>
          <w:lang w:val="hr-HR"/>
        </w:rPr>
      </w:pPr>
      <w:r w:rsidRPr="001A048B">
        <w:rPr>
          <w:b/>
          <w:bCs/>
          <w:sz w:val="24"/>
          <w:szCs w:val="24"/>
          <w:lang w:val="hr-HR"/>
        </w:rPr>
        <w:t>PRILOZI:</w:t>
      </w:r>
    </w:p>
    <w:p w14:paraId="55153DEC" w14:textId="25FE2708" w:rsidR="001A048B" w:rsidRDefault="001A048B" w:rsidP="001A048B">
      <w:pPr>
        <w:rPr>
          <w:sz w:val="24"/>
          <w:szCs w:val="24"/>
          <w:lang w:val="hr-HR"/>
        </w:rPr>
      </w:pPr>
      <w:r>
        <w:rPr>
          <w:sz w:val="24"/>
          <w:szCs w:val="24"/>
          <w:lang w:val="hr-HR"/>
        </w:rPr>
        <w:t>1. Prijedlog Odluke</w:t>
      </w:r>
      <w:r w:rsidR="000A0604">
        <w:rPr>
          <w:sz w:val="24"/>
          <w:szCs w:val="24"/>
          <w:lang w:val="hr-HR"/>
        </w:rPr>
        <w:t xml:space="preserve"> Gradskoga vijeća</w:t>
      </w:r>
      <w:r>
        <w:rPr>
          <w:sz w:val="24"/>
          <w:szCs w:val="24"/>
          <w:lang w:val="hr-HR"/>
        </w:rPr>
        <w:t>,</w:t>
      </w:r>
    </w:p>
    <w:p w14:paraId="2AF55C87" w14:textId="0D66A9CD" w:rsidR="001A048B" w:rsidRDefault="001A048B" w:rsidP="001A048B">
      <w:pPr>
        <w:rPr>
          <w:sz w:val="24"/>
          <w:szCs w:val="24"/>
          <w:lang w:val="hr-HR"/>
        </w:rPr>
      </w:pPr>
      <w:r>
        <w:rPr>
          <w:sz w:val="24"/>
          <w:szCs w:val="24"/>
          <w:lang w:val="hr-HR"/>
        </w:rPr>
        <w:t>2. Prijedlog Odluke Školskog odbora.</w:t>
      </w:r>
    </w:p>
    <w:p w14:paraId="3D19B949" w14:textId="719A19F4" w:rsidR="001A048B" w:rsidRDefault="001A048B" w:rsidP="007F4D5D">
      <w:pPr>
        <w:jc w:val="both"/>
        <w:rPr>
          <w:b/>
          <w:sz w:val="24"/>
          <w:szCs w:val="24"/>
          <w:lang w:val="hr-HR"/>
        </w:rPr>
      </w:pPr>
    </w:p>
    <w:p w14:paraId="3FE294D6" w14:textId="72749E7F" w:rsidR="007C4DC5" w:rsidRDefault="007C4DC5" w:rsidP="007F4D5D">
      <w:pPr>
        <w:jc w:val="both"/>
        <w:rPr>
          <w:b/>
          <w:sz w:val="24"/>
          <w:szCs w:val="24"/>
          <w:lang w:val="hr-HR"/>
        </w:rPr>
      </w:pPr>
    </w:p>
    <w:p w14:paraId="7EF15649" w14:textId="77777777" w:rsidR="007C4DC5" w:rsidRDefault="007C4DC5" w:rsidP="007F4D5D">
      <w:pPr>
        <w:jc w:val="both"/>
        <w:rPr>
          <w:b/>
          <w:sz w:val="24"/>
          <w:szCs w:val="24"/>
          <w:lang w:val="hr-HR"/>
        </w:rPr>
      </w:pPr>
    </w:p>
    <w:p w14:paraId="77EDBB1F" w14:textId="7E37C8A7" w:rsidR="007F4D5D" w:rsidRPr="00D27365" w:rsidRDefault="007F4D5D" w:rsidP="007F4D5D">
      <w:pPr>
        <w:jc w:val="both"/>
        <w:rPr>
          <w:b/>
          <w:sz w:val="24"/>
          <w:szCs w:val="24"/>
          <w:lang w:val="hr-HR"/>
        </w:rPr>
      </w:pPr>
      <w:r w:rsidRPr="00D27365">
        <w:rPr>
          <w:b/>
          <w:sz w:val="24"/>
          <w:szCs w:val="24"/>
          <w:lang w:val="hr-HR"/>
        </w:rPr>
        <w:t>DOSTAVITI:</w:t>
      </w:r>
    </w:p>
    <w:p w14:paraId="7630997B" w14:textId="442F719C" w:rsidR="007F4D5D" w:rsidRDefault="001A048B" w:rsidP="001A048B">
      <w:pPr>
        <w:jc w:val="both"/>
        <w:rPr>
          <w:sz w:val="24"/>
          <w:szCs w:val="24"/>
          <w:lang w:val="hr-HR"/>
        </w:rPr>
      </w:pPr>
      <w:r>
        <w:rPr>
          <w:sz w:val="24"/>
          <w:szCs w:val="24"/>
          <w:lang w:val="hr-HR"/>
        </w:rPr>
        <w:t>1. Gradsko vijeće, ovdje,</w:t>
      </w:r>
    </w:p>
    <w:p w14:paraId="6B2645B6" w14:textId="53F38C80" w:rsidR="001A048B" w:rsidRPr="007C4DC5" w:rsidRDefault="001A048B" w:rsidP="001A048B">
      <w:pPr>
        <w:jc w:val="both"/>
        <w:rPr>
          <w:sz w:val="24"/>
          <w:szCs w:val="24"/>
          <w:lang w:val="hr-HR"/>
        </w:rPr>
      </w:pPr>
      <w:r>
        <w:rPr>
          <w:sz w:val="24"/>
          <w:szCs w:val="24"/>
          <w:lang w:val="hr-HR"/>
        </w:rPr>
        <w:t>2. Upravni odjel za društvene djelatnosti, ovdje,</w:t>
      </w:r>
      <w:r w:rsidR="007C4DC5" w:rsidRPr="007C4DC5">
        <w:t xml:space="preserve"> </w:t>
      </w:r>
      <w:r w:rsidR="007C4DC5" w:rsidRPr="007C4DC5">
        <w:rPr>
          <w:sz w:val="24"/>
          <w:szCs w:val="24"/>
        </w:rPr>
        <w:t xml:space="preserve">(KLASA: </w:t>
      </w:r>
      <w:r w:rsidR="007C4DC5" w:rsidRPr="007C4DC5">
        <w:rPr>
          <w:sz w:val="24"/>
          <w:szCs w:val="24"/>
          <w:lang w:val="hr-HR"/>
        </w:rPr>
        <w:t>602-02/25-01/41)</w:t>
      </w:r>
    </w:p>
    <w:p w14:paraId="215A8E25" w14:textId="423F7A1A" w:rsidR="007F4D5D" w:rsidRPr="00D27365" w:rsidRDefault="001A048B" w:rsidP="007F4D5D">
      <w:pPr>
        <w:jc w:val="both"/>
        <w:rPr>
          <w:sz w:val="24"/>
          <w:szCs w:val="24"/>
          <w:lang w:val="hr-HR"/>
        </w:rPr>
      </w:pPr>
      <w:r>
        <w:rPr>
          <w:sz w:val="24"/>
          <w:szCs w:val="24"/>
          <w:lang w:val="hr-HR"/>
        </w:rPr>
        <w:t>3. Pismohrana, ovdje.</w:t>
      </w:r>
    </w:p>
    <w:tbl>
      <w:tblPr>
        <w:tblW w:w="0" w:type="auto"/>
        <w:tblLayout w:type="fixed"/>
        <w:tblLook w:val="0000" w:firstRow="0" w:lastRow="0" w:firstColumn="0" w:lastColumn="0" w:noHBand="0" w:noVBand="0"/>
      </w:tblPr>
      <w:tblGrid>
        <w:gridCol w:w="3652"/>
      </w:tblGrid>
      <w:tr w:rsidR="007F4D5D" w:rsidRPr="00D27365" w14:paraId="232D8A75" w14:textId="77777777" w:rsidTr="00BB588A">
        <w:trPr>
          <w:cantSplit/>
        </w:trPr>
        <w:tc>
          <w:tcPr>
            <w:tcW w:w="3652" w:type="dxa"/>
            <w:tcBorders>
              <w:top w:val="nil"/>
              <w:left w:val="nil"/>
              <w:bottom w:val="nil"/>
              <w:right w:val="nil"/>
            </w:tcBorders>
          </w:tcPr>
          <w:p w14:paraId="2A0BD66B" w14:textId="77777777" w:rsidR="007F4D5D" w:rsidRPr="00D27365" w:rsidRDefault="007F4D5D" w:rsidP="00BB588A">
            <w:pPr>
              <w:jc w:val="center"/>
              <w:rPr>
                <w:b/>
                <w:bCs/>
                <w:sz w:val="24"/>
                <w:szCs w:val="24"/>
                <w:lang w:val="hr-HR"/>
              </w:rPr>
            </w:pPr>
            <w:r>
              <w:rPr>
                <w:b/>
                <w:bCs/>
                <w:noProof/>
                <w:sz w:val="24"/>
                <w:szCs w:val="24"/>
                <w:lang w:val="hr-HR" w:bidi="th-TH"/>
              </w:rPr>
              <w:lastRenderedPageBreak/>
              <w:drawing>
                <wp:inline distT="0" distB="0" distL="0" distR="0" wp14:anchorId="5A7F7438" wp14:editId="669A7463">
                  <wp:extent cx="498475" cy="629285"/>
                  <wp:effectExtent l="0" t="0" r="0" b="0"/>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8475" cy="629285"/>
                          </a:xfrm>
                          <a:prstGeom prst="rect">
                            <a:avLst/>
                          </a:prstGeom>
                          <a:noFill/>
                          <a:ln>
                            <a:noFill/>
                          </a:ln>
                        </pic:spPr>
                      </pic:pic>
                    </a:graphicData>
                  </a:graphic>
                </wp:inline>
              </w:drawing>
            </w:r>
          </w:p>
        </w:tc>
      </w:tr>
      <w:tr w:rsidR="007F4D5D" w:rsidRPr="00D27365" w14:paraId="2A67403F" w14:textId="77777777" w:rsidTr="00BB588A">
        <w:trPr>
          <w:cantSplit/>
        </w:trPr>
        <w:tc>
          <w:tcPr>
            <w:tcW w:w="3652" w:type="dxa"/>
            <w:tcBorders>
              <w:top w:val="nil"/>
              <w:left w:val="nil"/>
              <w:bottom w:val="nil"/>
              <w:right w:val="nil"/>
            </w:tcBorders>
          </w:tcPr>
          <w:p w14:paraId="25257E33" w14:textId="77777777" w:rsidR="007F4D5D" w:rsidRPr="00D27365" w:rsidRDefault="007F4D5D" w:rsidP="00BB588A">
            <w:pPr>
              <w:jc w:val="center"/>
              <w:rPr>
                <w:b/>
                <w:bCs/>
                <w:sz w:val="24"/>
                <w:szCs w:val="24"/>
                <w:lang w:val="hr-HR"/>
              </w:rPr>
            </w:pPr>
            <w:r w:rsidRPr="00D27365">
              <w:rPr>
                <w:b/>
                <w:bCs/>
                <w:sz w:val="24"/>
                <w:szCs w:val="24"/>
                <w:lang w:val="hr-HR"/>
              </w:rPr>
              <w:t>REPUBLIKA HRVATSKA</w:t>
            </w:r>
          </w:p>
        </w:tc>
      </w:tr>
      <w:tr w:rsidR="007F4D5D" w:rsidRPr="00D27365" w14:paraId="0563E0B2" w14:textId="77777777" w:rsidTr="00BB588A">
        <w:trPr>
          <w:cantSplit/>
        </w:trPr>
        <w:tc>
          <w:tcPr>
            <w:tcW w:w="3652" w:type="dxa"/>
            <w:tcBorders>
              <w:top w:val="nil"/>
              <w:left w:val="nil"/>
              <w:bottom w:val="nil"/>
              <w:right w:val="nil"/>
            </w:tcBorders>
          </w:tcPr>
          <w:p w14:paraId="561882EF" w14:textId="77777777" w:rsidR="007F4D5D" w:rsidRPr="00D27365" w:rsidRDefault="007F4D5D" w:rsidP="00BB588A">
            <w:pPr>
              <w:jc w:val="center"/>
              <w:rPr>
                <w:b/>
                <w:bCs/>
                <w:sz w:val="24"/>
                <w:szCs w:val="24"/>
                <w:lang w:val="hr-HR"/>
              </w:rPr>
            </w:pPr>
            <w:r w:rsidRPr="00D27365">
              <w:rPr>
                <w:b/>
                <w:bCs/>
                <w:sz w:val="24"/>
                <w:szCs w:val="24"/>
                <w:lang w:val="hr-HR"/>
              </w:rPr>
              <w:t>ISTARSKA ŽUPANIJA</w:t>
            </w:r>
          </w:p>
        </w:tc>
      </w:tr>
      <w:tr w:rsidR="007F4D5D" w:rsidRPr="00D27365" w14:paraId="3D16E82D" w14:textId="77777777" w:rsidTr="00BB588A">
        <w:trPr>
          <w:cantSplit/>
        </w:trPr>
        <w:tc>
          <w:tcPr>
            <w:tcW w:w="3652" w:type="dxa"/>
            <w:tcBorders>
              <w:top w:val="nil"/>
              <w:left w:val="nil"/>
              <w:bottom w:val="nil"/>
              <w:right w:val="nil"/>
            </w:tcBorders>
          </w:tcPr>
          <w:p w14:paraId="63AFC648" w14:textId="77777777" w:rsidR="007F4D5D" w:rsidRPr="00D27365" w:rsidRDefault="007F4D5D" w:rsidP="00BB588A">
            <w:pPr>
              <w:jc w:val="center"/>
              <w:rPr>
                <w:b/>
                <w:bCs/>
                <w:sz w:val="24"/>
                <w:szCs w:val="24"/>
                <w:lang w:val="hr-HR"/>
              </w:rPr>
            </w:pPr>
            <w:r w:rsidRPr="00D27365">
              <w:rPr>
                <w:b/>
                <w:bCs/>
                <w:sz w:val="24"/>
                <w:szCs w:val="24"/>
                <w:lang w:val="hr-HR"/>
              </w:rPr>
              <w:t>GRAD POREČ-PARENZO</w:t>
            </w:r>
          </w:p>
          <w:p w14:paraId="6956AC25" w14:textId="77777777" w:rsidR="007F4D5D" w:rsidRPr="00D27365" w:rsidRDefault="007F4D5D" w:rsidP="00BB588A">
            <w:pPr>
              <w:jc w:val="center"/>
              <w:rPr>
                <w:b/>
                <w:bCs/>
                <w:sz w:val="24"/>
                <w:szCs w:val="24"/>
                <w:lang w:val="hr-HR"/>
              </w:rPr>
            </w:pPr>
            <w:r w:rsidRPr="00D27365">
              <w:rPr>
                <w:b/>
                <w:bCs/>
                <w:sz w:val="24"/>
                <w:szCs w:val="24"/>
                <w:lang w:val="hr-HR"/>
              </w:rPr>
              <w:t>CITTA DI POREČ-PARENZO</w:t>
            </w:r>
          </w:p>
        </w:tc>
      </w:tr>
      <w:tr w:rsidR="007F4D5D" w:rsidRPr="00D27365" w14:paraId="4F23A458" w14:textId="77777777" w:rsidTr="00BB588A">
        <w:trPr>
          <w:cantSplit/>
          <w:trHeight w:val="334"/>
        </w:trPr>
        <w:tc>
          <w:tcPr>
            <w:tcW w:w="3652" w:type="dxa"/>
            <w:tcBorders>
              <w:top w:val="nil"/>
              <w:left w:val="nil"/>
              <w:bottom w:val="nil"/>
              <w:right w:val="nil"/>
            </w:tcBorders>
          </w:tcPr>
          <w:p w14:paraId="32D5CCEE" w14:textId="77777777" w:rsidR="007F4D5D" w:rsidRPr="00D27365" w:rsidRDefault="007F4D5D" w:rsidP="00BB588A">
            <w:pPr>
              <w:jc w:val="center"/>
              <w:rPr>
                <w:b/>
                <w:bCs/>
                <w:sz w:val="24"/>
                <w:szCs w:val="24"/>
                <w:lang w:val="hr-HR"/>
              </w:rPr>
            </w:pPr>
            <w:r w:rsidRPr="00D27365">
              <w:rPr>
                <w:b/>
                <w:bCs/>
                <w:sz w:val="24"/>
                <w:szCs w:val="24"/>
                <w:lang w:val="hr-HR"/>
              </w:rPr>
              <w:t>Gradsko vijeće</w:t>
            </w:r>
          </w:p>
        </w:tc>
      </w:tr>
      <w:tr w:rsidR="007F4D5D" w:rsidRPr="00D27365" w14:paraId="2373986E" w14:textId="77777777" w:rsidTr="00EA054D">
        <w:trPr>
          <w:cantSplit/>
          <w:trHeight w:val="80"/>
        </w:trPr>
        <w:tc>
          <w:tcPr>
            <w:tcW w:w="3652" w:type="dxa"/>
            <w:tcBorders>
              <w:top w:val="nil"/>
              <w:left w:val="nil"/>
              <w:bottom w:val="nil"/>
              <w:right w:val="nil"/>
            </w:tcBorders>
          </w:tcPr>
          <w:p w14:paraId="35228C19" w14:textId="77777777" w:rsidR="00EA054D" w:rsidRPr="00EA054D" w:rsidRDefault="00EA054D" w:rsidP="00EA054D">
            <w:pPr>
              <w:rPr>
                <w:b/>
                <w:bCs/>
                <w:sz w:val="24"/>
                <w:szCs w:val="24"/>
                <w:lang w:val="hr-HR"/>
              </w:rPr>
            </w:pPr>
            <w:r w:rsidRPr="00EA054D">
              <w:rPr>
                <w:b/>
                <w:bCs/>
                <w:sz w:val="24"/>
                <w:szCs w:val="24"/>
                <w:lang w:val="hr-HR"/>
              </w:rPr>
              <w:t>KLASA:</w:t>
            </w:r>
          </w:p>
          <w:p w14:paraId="09656EA1" w14:textId="77777777" w:rsidR="00EA054D" w:rsidRPr="00EA054D" w:rsidRDefault="00EA054D" w:rsidP="00EA054D">
            <w:pPr>
              <w:rPr>
                <w:b/>
                <w:bCs/>
                <w:sz w:val="24"/>
                <w:szCs w:val="24"/>
                <w:lang w:val="hr-HR"/>
              </w:rPr>
            </w:pPr>
            <w:r w:rsidRPr="00EA054D">
              <w:rPr>
                <w:b/>
                <w:bCs/>
                <w:sz w:val="24"/>
                <w:szCs w:val="24"/>
                <w:lang w:val="hr-HR"/>
              </w:rPr>
              <w:t xml:space="preserve">URBROJ: </w:t>
            </w:r>
          </w:p>
          <w:p w14:paraId="1351DE46" w14:textId="77777777" w:rsidR="00EA054D" w:rsidRPr="00EA054D" w:rsidRDefault="00EA054D" w:rsidP="00EA054D">
            <w:pPr>
              <w:rPr>
                <w:b/>
                <w:bCs/>
                <w:lang w:val="hr-HR"/>
              </w:rPr>
            </w:pPr>
            <w:r w:rsidRPr="00EA054D">
              <w:rPr>
                <w:b/>
                <w:bCs/>
                <w:sz w:val="24"/>
                <w:szCs w:val="24"/>
                <w:lang w:val="hr-HR"/>
              </w:rPr>
              <w:t xml:space="preserve">Poreč-Parenzo, </w:t>
            </w:r>
          </w:p>
          <w:p w14:paraId="2564B4AA" w14:textId="77777777" w:rsidR="007F4D5D" w:rsidRPr="00D27365" w:rsidRDefault="007F4D5D" w:rsidP="00BB588A">
            <w:pPr>
              <w:jc w:val="center"/>
              <w:rPr>
                <w:spacing w:val="20"/>
                <w:sz w:val="14"/>
                <w:lang w:val="hr-HR"/>
              </w:rPr>
            </w:pPr>
          </w:p>
        </w:tc>
      </w:tr>
    </w:tbl>
    <w:p w14:paraId="72EDC81A" w14:textId="77777777" w:rsidR="007F4D5D" w:rsidRDefault="007F4D5D" w:rsidP="007F4D5D">
      <w:pPr>
        <w:rPr>
          <w:sz w:val="24"/>
          <w:szCs w:val="24"/>
          <w:lang w:val="hr-HR"/>
        </w:rPr>
      </w:pPr>
    </w:p>
    <w:p w14:paraId="27229092" w14:textId="77777777" w:rsidR="007F4D5D" w:rsidRPr="00D27365" w:rsidRDefault="007F4D5D" w:rsidP="007F4D5D">
      <w:pPr>
        <w:rPr>
          <w:sz w:val="24"/>
          <w:szCs w:val="24"/>
          <w:lang w:val="hr-HR"/>
        </w:rPr>
      </w:pPr>
    </w:p>
    <w:p w14:paraId="74110614" w14:textId="72238716" w:rsidR="007F4D5D" w:rsidRDefault="007F4D5D" w:rsidP="007F4D5D">
      <w:pPr>
        <w:ind w:firstLine="708"/>
        <w:jc w:val="both"/>
        <w:rPr>
          <w:sz w:val="24"/>
          <w:szCs w:val="24"/>
          <w:lang w:val="hr-HR"/>
        </w:rPr>
      </w:pPr>
      <w:r w:rsidRPr="00D27365">
        <w:rPr>
          <w:sz w:val="24"/>
          <w:szCs w:val="24"/>
          <w:lang w:val="hr-HR"/>
        </w:rPr>
        <w:t xml:space="preserve">Na temelju članka </w:t>
      </w:r>
      <w:r w:rsidR="004108A4">
        <w:rPr>
          <w:sz w:val="24"/>
          <w:szCs w:val="24"/>
          <w:lang w:val="hr-HR"/>
        </w:rPr>
        <w:t>29</w:t>
      </w:r>
      <w:r w:rsidRPr="00D27365">
        <w:rPr>
          <w:sz w:val="24"/>
          <w:szCs w:val="24"/>
          <w:lang w:val="hr-HR"/>
        </w:rPr>
        <w:t>. stav</w:t>
      </w:r>
      <w:r w:rsidR="004108A4">
        <w:rPr>
          <w:sz w:val="24"/>
          <w:szCs w:val="24"/>
          <w:lang w:val="hr-HR"/>
        </w:rPr>
        <w:t>ka</w:t>
      </w:r>
      <w:r w:rsidRPr="00D27365">
        <w:rPr>
          <w:sz w:val="24"/>
          <w:szCs w:val="24"/>
          <w:lang w:val="hr-HR"/>
        </w:rPr>
        <w:t xml:space="preserve"> </w:t>
      </w:r>
      <w:r w:rsidR="004108A4">
        <w:rPr>
          <w:sz w:val="24"/>
          <w:szCs w:val="24"/>
          <w:lang w:val="hr-HR"/>
        </w:rPr>
        <w:t>2</w:t>
      </w:r>
      <w:r w:rsidRPr="00D27365">
        <w:rPr>
          <w:sz w:val="24"/>
          <w:szCs w:val="24"/>
          <w:lang w:val="hr-HR"/>
        </w:rPr>
        <w:t xml:space="preserve">. </w:t>
      </w:r>
      <w:r w:rsidR="004108A4" w:rsidRPr="004108A4">
        <w:rPr>
          <w:sz w:val="24"/>
          <w:szCs w:val="24"/>
          <w:lang w:val="hr-HR"/>
        </w:rPr>
        <w:t>Zakon</w:t>
      </w:r>
      <w:r w:rsidR="004108A4">
        <w:rPr>
          <w:sz w:val="24"/>
          <w:szCs w:val="24"/>
          <w:lang w:val="hr-HR"/>
        </w:rPr>
        <w:t>a</w:t>
      </w:r>
      <w:r w:rsidR="004108A4" w:rsidRPr="004108A4">
        <w:rPr>
          <w:sz w:val="24"/>
          <w:szCs w:val="24"/>
          <w:lang w:val="hr-HR"/>
        </w:rPr>
        <w:t xml:space="preserve"> o ustanovama (</w:t>
      </w:r>
      <w:r w:rsidR="004108A4">
        <w:rPr>
          <w:sz w:val="24"/>
          <w:szCs w:val="24"/>
          <w:lang w:val="hr-HR"/>
        </w:rPr>
        <w:t>„</w:t>
      </w:r>
      <w:r w:rsidR="004108A4" w:rsidRPr="004108A4">
        <w:rPr>
          <w:sz w:val="24"/>
          <w:szCs w:val="24"/>
          <w:lang w:val="hr-HR"/>
        </w:rPr>
        <w:t>Narodne novine</w:t>
      </w:r>
      <w:r w:rsidR="004108A4">
        <w:rPr>
          <w:sz w:val="24"/>
          <w:szCs w:val="24"/>
          <w:lang w:val="hr-HR"/>
        </w:rPr>
        <w:t>“</w:t>
      </w:r>
      <w:r w:rsidR="004108A4" w:rsidRPr="004108A4">
        <w:rPr>
          <w:sz w:val="24"/>
          <w:szCs w:val="24"/>
          <w:lang w:val="hr-HR"/>
        </w:rPr>
        <w:t xml:space="preserve"> br</w:t>
      </w:r>
      <w:r w:rsidR="004108A4">
        <w:rPr>
          <w:sz w:val="24"/>
          <w:szCs w:val="24"/>
          <w:lang w:val="hr-HR"/>
        </w:rPr>
        <w:t>oj</w:t>
      </w:r>
      <w:r w:rsidR="004108A4" w:rsidRPr="004108A4">
        <w:rPr>
          <w:sz w:val="24"/>
          <w:szCs w:val="24"/>
          <w:lang w:val="hr-HR"/>
        </w:rPr>
        <w:t xml:space="preserve"> 76/93, 29/97, 47/99, 35/08, 127/19, 151/22)</w:t>
      </w:r>
      <w:r w:rsidR="006033B6">
        <w:rPr>
          <w:sz w:val="24"/>
          <w:szCs w:val="24"/>
          <w:lang w:val="hr-HR"/>
        </w:rPr>
        <w:t xml:space="preserve"> i</w:t>
      </w:r>
      <w:r w:rsidR="00C57AEB">
        <w:rPr>
          <w:sz w:val="24"/>
          <w:szCs w:val="24"/>
          <w:lang w:val="hr-HR"/>
        </w:rPr>
        <w:t xml:space="preserve"> članka </w:t>
      </w:r>
      <w:r w:rsidRPr="00D27365">
        <w:rPr>
          <w:sz w:val="24"/>
          <w:szCs w:val="24"/>
          <w:lang w:val="hr-HR"/>
        </w:rPr>
        <w:t xml:space="preserve">41. </w:t>
      </w:r>
      <w:r w:rsidR="007B250F">
        <w:rPr>
          <w:sz w:val="24"/>
          <w:szCs w:val="24"/>
          <w:lang w:val="hr-HR"/>
        </w:rPr>
        <w:t>stavka</w:t>
      </w:r>
      <w:r w:rsidRPr="00D27365">
        <w:rPr>
          <w:sz w:val="24"/>
          <w:szCs w:val="24"/>
          <w:lang w:val="hr-HR"/>
        </w:rPr>
        <w:t xml:space="preserve"> 1. Statuta Grada Poreča-Parenzo (“Službeni glasnik Grada Poreča” broj 2/13</w:t>
      </w:r>
      <w:r w:rsidR="005946A7">
        <w:rPr>
          <w:sz w:val="24"/>
          <w:szCs w:val="24"/>
          <w:lang w:val="hr-HR"/>
        </w:rPr>
        <w:t>,</w:t>
      </w:r>
      <w:r>
        <w:rPr>
          <w:sz w:val="24"/>
          <w:szCs w:val="24"/>
          <w:lang w:val="hr-HR"/>
        </w:rPr>
        <w:t xml:space="preserve"> 10/18</w:t>
      </w:r>
      <w:r w:rsidR="00E003FC">
        <w:rPr>
          <w:sz w:val="24"/>
          <w:szCs w:val="24"/>
          <w:lang w:val="hr-HR"/>
        </w:rPr>
        <w:t xml:space="preserve">, </w:t>
      </w:r>
      <w:r w:rsidR="005946A7">
        <w:rPr>
          <w:sz w:val="24"/>
          <w:szCs w:val="24"/>
          <w:lang w:val="hr-HR"/>
        </w:rPr>
        <w:t>2/21</w:t>
      </w:r>
      <w:r w:rsidR="00E003FC">
        <w:rPr>
          <w:sz w:val="24"/>
          <w:szCs w:val="24"/>
          <w:lang w:val="hr-HR"/>
        </w:rPr>
        <w:t xml:space="preserve"> i 12/24</w:t>
      </w:r>
      <w:r w:rsidRPr="00D27365">
        <w:rPr>
          <w:sz w:val="24"/>
          <w:szCs w:val="24"/>
          <w:lang w:val="hr-HR"/>
        </w:rPr>
        <w:t>), Gradsko vijeće Grada Poreča-Parenzo</w:t>
      </w:r>
      <w:r w:rsidR="00776E23">
        <w:rPr>
          <w:sz w:val="24"/>
          <w:szCs w:val="24"/>
          <w:lang w:val="hr-HR"/>
        </w:rPr>
        <w:t xml:space="preserve"> je, na sjednici održanoj ____________ 2025. godine, donijelo sljedeću</w:t>
      </w:r>
      <w:r w:rsidRPr="00D27365">
        <w:rPr>
          <w:sz w:val="24"/>
          <w:szCs w:val="24"/>
          <w:lang w:val="hr-HR"/>
        </w:rPr>
        <w:t xml:space="preserve"> </w:t>
      </w:r>
    </w:p>
    <w:p w14:paraId="21FA932E" w14:textId="77777777" w:rsidR="00EA054D" w:rsidRPr="00D27365" w:rsidRDefault="00EA054D" w:rsidP="007F4D5D">
      <w:pPr>
        <w:ind w:firstLine="708"/>
        <w:jc w:val="both"/>
        <w:rPr>
          <w:sz w:val="24"/>
          <w:szCs w:val="24"/>
          <w:lang w:val="hr-HR"/>
        </w:rPr>
      </w:pPr>
    </w:p>
    <w:p w14:paraId="4C2333B0" w14:textId="77777777" w:rsidR="007F4D5D" w:rsidRPr="00D27365" w:rsidRDefault="007F4D5D" w:rsidP="007F4D5D">
      <w:pPr>
        <w:rPr>
          <w:sz w:val="24"/>
          <w:szCs w:val="24"/>
          <w:lang w:val="hr-HR"/>
        </w:rPr>
      </w:pPr>
    </w:p>
    <w:p w14:paraId="7D82BBAE" w14:textId="77777777" w:rsidR="007F4D5D" w:rsidRPr="00D27365" w:rsidRDefault="007F4D5D" w:rsidP="007F4D5D">
      <w:pPr>
        <w:jc w:val="center"/>
        <w:rPr>
          <w:b/>
          <w:bCs/>
          <w:sz w:val="24"/>
          <w:szCs w:val="24"/>
          <w:lang w:val="hr-HR"/>
        </w:rPr>
      </w:pPr>
      <w:r w:rsidRPr="00D27365">
        <w:rPr>
          <w:b/>
          <w:bCs/>
          <w:sz w:val="24"/>
          <w:szCs w:val="24"/>
          <w:lang w:val="hr-HR"/>
        </w:rPr>
        <w:t>ODLUKU</w:t>
      </w:r>
    </w:p>
    <w:p w14:paraId="33DE0CF0" w14:textId="2200EB17" w:rsidR="004108A4" w:rsidRPr="004108A4" w:rsidRDefault="004108A4" w:rsidP="004108A4">
      <w:pPr>
        <w:jc w:val="center"/>
        <w:rPr>
          <w:b/>
          <w:bCs/>
          <w:sz w:val="24"/>
          <w:szCs w:val="24"/>
          <w:lang w:val="hr-HR"/>
        </w:rPr>
      </w:pPr>
      <w:r w:rsidRPr="004108A4">
        <w:rPr>
          <w:b/>
          <w:bCs/>
          <w:sz w:val="24"/>
          <w:szCs w:val="24"/>
          <w:lang w:val="hr-HR"/>
        </w:rPr>
        <w:t xml:space="preserve">o davanju prethodne suglasnosti na </w:t>
      </w:r>
      <w:r>
        <w:rPr>
          <w:b/>
          <w:bCs/>
          <w:sz w:val="24"/>
          <w:szCs w:val="24"/>
          <w:lang w:val="hr-HR"/>
        </w:rPr>
        <w:t>proširenje</w:t>
      </w:r>
      <w:r w:rsidRPr="004108A4">
        <w:rPr>
          <w:b/>
          <w:bCs/>
          <w:sz w:val="24"/>
          <w:szCs w:val="24"/>
          <w:lang w:val="hr-HR"/>
        </w:rPr>
        <w:t xml:space="preserve"> djelatnosti</w:t>
      </w:r>
    </w:p>
    <w:p w14:paraId="6249FDD8" w14:textId="46ACC4D0" w:rsidR="007F4D5D" w:rsidRDefault="004108A4" w:rsidP="004108A4">
      <w:pPr>
        <w:jc w:val="center"/>
        <w:rPr>
          <w:b/>
          <w:bCs/>
          <w:sz w:val="24"/>
          <w:szCs w:val="24"/>
          <w:lang w:val="hr-HR"/>
        </w:rPr>
      </w:pPr>
      <w:r w:rsidRPr="004108A4">
        <w:rPr>
          <w:b/>
          <w:bCs/>
          <w:sz w:val="24"/>
          <w:szCs w:val="24"/>
          <w:lang w:val="hr-HR"/>
        </w:rPr>
        <w:t xml:space="preserve">Umjetničke škole </w:t>
      </w:r>
      <w:r>
        <w:rPr>
          <w:b/>
          <w:bCs/>
          <w:sz w:val="24"/>
          <w:szCs w:val="24"/>
          <w:lang w:val="hr-HR"/>
        </w:rPr>
        <w:t>Poreč</w:t>
      </w:r>
    </w:p>
    <w:p w14:paraId="6D072D30" w14:textId="77777777" w:rsidR="004108A4" w:rsidRPr="00D27365" w:rsidRDefault="004108A4" w:rsidP="004108A4">
      <w:pPr>
        <w:jc w:val="center"/>
        <w:rPr>
          <w:b/>
          <w:sz w:val="24"/>
          <w:szCs w:val="24"/>
          <w:lang w:val="hr-HR"/>
        </w:rPr>
      </w:pPr>
    </w:p>
    <w:p w14:paraId="4B9C3F81" w14:textId="77777777" w:rsidR="007F4D5D" w:rsidRPr="00D27365" w:rsidRDefault="007F4D5D" w:rsidP="007F4D5D">
      <w:pPr>
        <w:jc w:val="center"/>
        <w:rPr>
          <w:b/>
          <w:bCs/>
          <w:sz w:val="24"/>
          <w:szCs w:val="24"/>
          <w:lang w:val="hr-HR"/>
        </w:rPr>
      </w:pPr>
      <w:r w:rsidRPr="00D27365">
        <w:rPr>
          <w:b/>
          <w:bCs/>
          <w:sz w:val="24"/>
          <w:szCs w:val="24"/>
          <w:lang w:val="hr-HR"/>
        </w:rPr>
        <w:t>Članak 1.</w:t>
      </w:r>
    </w:p>
    <w:p w14:paraId="234EB4BE" w14:textId="2D510FE1" w:rsidR="004108A4" w:rsidRDefault="007F4D5D" w:rsidP="00776E23">
      <w:pPr>
        <w:ind w:firstLine="720"/>
        <w:jc w:val="both"/>
        <w:rPr>
          <w:bCs/>
          <w:sz w:val="24"/>
          <w:szCs w:val="24"/>
          <w:lang w:val="hr-HR"/>
        </w:rPr>
      </w:pPr>
      <w:r>
        <w:rPr>
          <w:bCs/>
          <w:sz w:val="24"/>
          <w:szCs w:val="24"/>
          <w:lang w:val="hr-HR"/>
        </w:rPr>
        <w:t>D</w:t>
      </w:r>
      <w:r w:rsidRPr="001F7650">
        <w:rPr>
          <w:bCs/>
          <w:sz w:val="24"/>
          <w:szCs w:val="24"/>
          <w:lang w:val="hr-HR"/>
        </w:rPr>
        <w:t>aje</w:t>
      </w:r>
      <w:r>
        <w:rPr>
          <w:bCs/>
          <w:sz w:val="24"/>
          <w:szCs w:val="24"/>
          <w:lang w:val="hr-HR"/>
        </w:rPr>
        <w:t xml:space="preserve"> se</w:t>
      </w:r>
      <w:r w:rsidRPr="001F7650">
        <w:rPr>
          <w:bCs/>
          <w:sz w:val="24"/>
          <w:szCs w:val="24"/>
          <w:lang w:val="hr-HR"/>
        </w:rPr>
        <w:t xml:space="preserve"> </w:t>
      </w:r>
      <w:r w:rsidR="004108A4">
        <w:rPr>
          <w:bCs/>
          <w:sz w:val="24"/>
          <w:szCs w:val="24"/>
          <w:lang w:val="hr-HR"/>
        </w:rPr>
        <w:t>prethodna suglasnost na prijedlog Odluk</w:t>
      </w:r>
      <w:r w:rsidR="009765C7">
        <w:rPr>
          <w:bCs/>
          <w:sz w:val="24"/>
          <w:szCs w:val="24"/>
          <w:lang w:val="hr-HR"/>
        </w:rPr>
        <w:t>e</w:t>
      </w:r>
      <w:r w:rsidR="004108A4">
        <w:rPr>
          <w:bCs/>
          <w:sz w:val="24"/>
          <w:szCs w:val="24"/>
          <w:lang w:val="hr-HR"/>
        </w:rPr>
        <w:t xml:space="preserve"> o proširenje djelatnosti Umjetničke škole Poreč, </w:t>
      </w:r>
      <w:r w:rsidR="009765C7" w:rsidRPr="009765C7">
        <w:rPr>
          <w:bCs/>
          <w:sz w:val="24"/>
          <w:szCs w:val="24"/>
          <w:lang w:val="hr-HR"/>
        </w:rPr>
        <w:t>koji je donio Školski odbor dana 9. rujna 2025. godine, a koji čini sastavni dio ove Odluke.</w:t>
      </w:r>
    </w:p>
    <w:p w14:paraId="19DAED6D" w14:textId="77777777" w:rsidR="00776E23" w:rsidRPr="00D27365" w:rsidRDefault="00776E23" w:rsidP="00776E23">
      <w:pPr>
        <w:ind w:firstLine="720"/>
        <w:jc w:val="both"/>
        <w:rPr>
          <w:bCs/>
          <w:sz w:val="24"/>
          <w:szCs w:val="24"/>
          <w:lang w:val="hr-HR"/>
        </w:rPr>
      </w:pPr>
    </w:p>
    <w:p w14:paraId="1653AE34" w14:textId="7ED33B65" w:rsidR="004108A4" w:rsidRPr="004108A4" w:rsidRDefault="004108A4" w:rsidP="00776E23">
      <w:pPr>
        <w:jc w:val="center"/>
        <w:rPr>
          <w:sz w:val="24"/>
          <w:szCs w:val="24"/>
          <w:lang w:val="hr-HR"/>
        </w:rPr>
      </w:pPr>
      <w:r w:rsidRPr="00D27365">
        <w:rPr>
          <w:b/>
          <w:bCs/>
          <w:sz w:val="24"/>
          <w:szCs w:val="24"/>
          <w:lang w:val="hr-HR"/>
        </w:rPr>
        <w:t>Članak 2.</w:t>
      </w:r>
    </w:p>
    <w:p w14:paraId="42F0E9C7" w14:textId="49F577F1" w:rsidR="004108A4" w:rsidRPr="00D27365" w:rsidRDefault="004108A4" w:rsidP="004108A4">
      <w:pPr>
        <w:ind w:firstLine="720"/>
        <w:jc w:val="both"/>
        <w:rPr>
          <w:sz w:val="24"/>
          <w:szCs w:val="24"/>
          <w:lang w:val="hr-HR"/>
        </w:rPr>
      </w:pPr>
      <w:r>
        <w:rPr>
          <w:bCs/>
          <w:sz w:val="24"/>
          <w:szCs w:val="24"/>
          <w:lang w:val="hr-HR"/>
        </w:rPr>
        <w:t xml:space="preserve">Utvrđuje se proširenje djelatnosti Umjetničke škole Poreč uvođenjem programa </w:t>
      </w:r>
      <w:r w:rsidR="00A82307" w:rsidRPr="00A82307">
        <w:rPr>
          <w:bCs/>
          <w:sz w:val="24"/>
          <w:szCs w:val="24"/>
          <w:lang w:val="hr-HR"/>
        </w:rPr>
        <w:t>tambure, udaraljk</w:t>
      </w:r>
      <w:r w:rsidR="00A82307">
        <w:rPr>
          <w:bCs/>
          <w:sz w:val="24"/>
          <w:szCs w:val="24"/>
          <w:lang w:val="hr-HR"/>
        </w:rPr>
        <w:t>e</w:t>
      </w:r>
      <w:r w:rsidR="00A82307" w:rsidRPr="00A82307">
        <w:rPr>
          <w:bCs/>
          <w:sz w:val="24"/>
          <w:szCs w:val="24"/>
          <w:lang w:val="hr-HR"/>
        </w:rPr>
        <w:t>, saksofon i klarinet</w:t>
      </w:r>
      <w:r w:rsidR="00A82307">
        <w:rPr>
          <w:bCs/>
          <w:sz w:val="24"/>
          <w:szCs w:val="24"/>
          <w:lang w:val="hr-HR"/>
        </w:rPr>
        <w:t>.</w:t>
      </w:r>
    </w:p>
    <w:p w14:paraId="310D024F" w14:textId="77777777" w:rsidR="007F4D5D" w:rsidRPr="00D27365" w:rsidRDefault="007F4D5D" w:rsidP="007F4D5D">
      <w:pPr>
        <w:jc w:val="both"/>
        <w:rPr>
          <w:bCs/>
          <w:sz w:val="24"/>
          <w:szCs w:val="24"/>
          <w:lang w:val="hr-HR"/>
        </w:rPr>
      </w:pPr>
    </w:p>
    <w:p w14:paraId="5B1E6119" w14:textId="089A98DE" w:rsidR="007F4D5D" w:rsidRPr="00D27365" w:rsidRDefault="007F4D5D" w:rsidP="00776E23">
      <w:pPr>
        <w:jc w:val="center"/>
        <w:rPr>
          <w:sz w:val="24"/>
          <w:szCs w:val="24"/>
          <w:lang w:val="hr-HR"/>
        </w:rPr>
      </w:pPr>
      <w:r w:rsidRPr="00D27365">
        <w:rPr>
          <w:b/>
          <w:bCs/>
          <w:sz w:val="24"/>
          <w:szCs w:val="24"/>
          <w:lang w:val="hr-HR"/>
        </w:rPr>
        <w:t xml:space="preserve">Članak </w:t>
      </w:r>
      <w:r w:rsidR="004108A4">
        <w:rPr>
          <w:b/>
          <w:bCs/>
          <w:sz w:val="24"/>
          <w:szCs w:val="24"/>
          <w:lang w:val="hr-HR"/>
        </w:rPr>
        <w:t>3</w:t>
      </w:r>
      <w:r w:rsidRPr="00D27365">
        <w:rPr>
          <w:b/>
          <w:bCs/>
          <w:sz w:val="24"/>
          <w:szCs w:val="24"/>
          <w:lang w:val="hr-HR"/>
        </w:rPr>
        <w:t>.</w:t>
      </w:r>
    </w:p>
    <w:p w14:paraId="377FD21A" w14:textId="16A8E728" w:rsidR="007F4D5D" w:rsidRPr="00D27365" w:rsidRDefault="007F4D5D" w:rsidP="007F4D5D">
      <w:pPr>
        <w:ind w:firstLine="708"/>
        <w:jc w:val="both"/>
        <w:rPr>
          <w:sz w:val="24"/>
          <w:szCs w:val="24"/>
          <w:lang w:val="hr-HR"/>
        </w:rPr>
      </w:pPr>
      <w:r w:rsidRPr="00D27365">
        <w:rPr>
          <w:sz w:val="24"/>
          <w:szCs w:val="24"/>
          <w:lang w:val="hr-HR"/>
        </w:rPr>
        <w:t xml:space="preserve">Ova Odluka stupa na snagu </w:t>
      </w:r>
      <w:r w:rsidR="007F3E7C" w:rsidRPr="007F3E7C">
        <w:rPr>
          <w:sz w:val="24"/>
          <w:szCs w:val="24"/>
          <w:lang w:val="hr-HR"/>
        </w:rPr>
        <w:t>prvog dana od dana objave</w:t>
      </w:r>
      <w:r w:rsidR="007F3E7C">
        <w:rPr>
          <w:sz w:val="24"/>
          <w:szCs w:val="24"/>
          <w:lang w:val="hr-HR"/>
        </w:rPr>
        <w:t xml:space="preserve"> </w:t>
      </w:r>
      <w:r w:rsidRPr="00D27365">
        <w:rPr>
          <w:sz w:val="24"/>
          <w:szCs w:val="24"/>
          <w:lang w:val="hr-HR"/>
        </w:rPr>
        <w:t>u "Službenom glasniku Grada Poreča-Parenzo".</w:t>
      </w:r>
    </w:p>
    <w:p w14:paraId="3DABF701" w14:textId="77777777" w:rsidR="007F4D5D" w:rsidRPr="00D27365" w:rsidRDefault="007F4D5D" w:rsidP="007F4D5D">
      <w:pPr>
        <w:ind w:left="4248"/>
        <w:jc w:val="center"/>
        <w:rPr>
          <w:b/>
          <w:bCs/>
          <w:sz w:val="24"/>
          <w:szCs w:val="24"/>
          <w:lang w:val="hr-HR"/>
        </w:rPr>
      </w:pPr>
    </w:p>
    <w:p w14:paraId="60C18A22" w14:textId="77777777" w:rsidR="00E0065F" w:rsidRPr="00E0065F" w:rsidRDefault="00E0065F" w:rsidP="00E0065F">
      <w:pPr>
        <w:ind w:left="4248"/>
        <w:jc w:val="center"/>
        <w:rPr>
          <w:b/>
          <w:bCs/>
          <w:sz w:val="24"/>
          <w:szCs w:val="24"/>
          <w:lang w:val="hr-HR"/>
        </w:rPr>
      </w:pPr>
    </w:p>
    <w:p w14:paraId="7BDD25B8" w14:textId="77777777" w:rsidR="00E0065F" w:rsidRPr="00E0065F" w:rsidRDefault="00E0065F" w:rsidP="00E0065F">
      <w:pPr>
        <w:ind w:left="4956"/>
        <w:jc w:val="center"/>
        <w:rPr>
          <w:b/>
          <w:bCs/>
          <w:sz w:val="24"/>
          <w:szCs w:val="24"/>
          <w:lang w:val="hr-HR"/>
        </w:rPr>
      </w:pPr>
      <w:r w:rsidRPr="00E0065F">
        <w:rPr>
          <w:b/>
          <w:bCs/>
          <w:sz w:val="24"/>
          <w:szCs w:val="24"/>
          <w:lang w:val="hr-HR"/>
        </w:rPr>
        <w:t>PREDSJEDNIK</w:t>
      </w:r>
    </w:p>
    <w:p w14:paraId="6DFD0F35" w14:textId="77777777" w:rsidR="00E0065F" w:rsidRPr="00E0065F" w:rsidRDefault="00E0065F" w:rsidP="00E0065F">
      <w:pPr>
        <w:ind w:left="4956"/>
        <w:jc w:val="center"/>
        <w:rPr>
          <w:b/>
          <w:bCs/>
          <w:sz w:val="24"/>
          <w:szCs w:val="24"/>
          <w:lang w:val="hr-HR"/>
        </w:rPr>
      </w:pPr>
      <w:r w:rsidRPr="00E0065F">
        <w:rPr>
          <w:b/>
          <w:bCs/>
          <w:sz w:val="24"/>
          <w:szCs w:val="24"/>
          <w:lang w:val="hr-HR"/>
        </w:rPr>
        <w:t>GRADSKOG VIJEĆA</w:t>
      </w:r>
    </w:p>
    <w:p w14:paraId="05D6FC44" w14:textId="203D5EC4" w:rsidR="007F4D5D" w:rsidRPr="00D27365" w:rsidRDefault="00E0065F" w:rsidP="00E0065F">
      <w:pPr>
        <w:ind w:left="4956"/>
        <w:jc w:val="center"/>
        <w:rPr>
          <w:b/>
          <w:bCs/>
          <w:sz w:val="24"/>
          <w:szCs w:val="24"/>
          <w:lang w:val="hr-HR"/>
        </w:rPr>
      </w:pPr>
      <w:r w:rsidRPr="00E0065F">
        <w:rPr>
          <w:b/>
          <w:bCs/>
          <w:sz w:val="24"/>
          <w:szCs w:val="24"/>
          <w:lang w:val="hr-HR"/>
        </w:rPr>
        <w:t>Elio Štifanić</w:t>
      </w:r>
    </w:p>
    <w:p w14:paraId="4A79A628" w14:textId="053DD063" w:rsidR="007F4D5D" w:rsidRDefault="007F4D5D" w:rsidP="001A048B">
      <w:pPr>
        <w:tabs>
          <w:tab w:val="left" w:pos="993"/>
        </w:tabs>
        <w:rPr>
          <w:b/>
          <w:bCs/>
          <w:sz w:val="24"/>
          <w:szCs w:val="24"/>
          <w:lang w:val="hr-HR"/>
        </w:rPr>
      </w:pPr>
    </w:p>
    <w:p w14:paraId="2F702654" w14:textId="77777777" w:rsidR="001A048B" w:rsidRDefault="001A048B" w:rsidP="001A048B">
      <w:pPr>
        <w:tabs>
          <w:tab w:val="left" w:pos="993"/>
        </w:tabs>
        <w:rPr>
          <w:b/>
          <w:bCs/>
          <w:sz w:val="24"/>
          <w:szCs w:val="24"/>
          <w:lang w:val="hr-HR"/>
        </w:rPr>
      </w:pPr>
    </w:p>
    <w:p w14:paraId="37E82CAA" w14:textId="6D693814" w:rsidR="007F4D5D" w:rsidRDefault="007F4D5D" w:rsidP="007F4D5D">
      <w:pPr>
        <w:tabs>
          <w:tab w:val="left" w:pos="993"/>
        </w:tabs>
        <w:jc w:val="center"/>
        <w:rPr>
          <w:b/>
          <w:bCs/>
          <w:sz w:val="24"/>
          <w:szCs w:val="24"/>
          <w:lang w:val="hr-HR"/>
        </w:rPr>
      </w:pPr>
    </w:p>
    <w:p w14:paraId="5BD3A6FA" w14:textId="77777777" w:rsidR="001A048B" w:rsidRPr="00D27365" w:rsidRDefault="001A048B" w:rsidP="001A048B">
      <w:pPr>
        <w:jc w:val="both"/>
        <w:rPr>
          <w:b/>
          <w:sz w:val="24"/>
          <w:szCs w:val="24"/>
          <w:lang w:val="hr-HR"/>
        </w:rPr>
      </w:pPr>
      <w:bookmarkStart w:id="0" w:name="_Hlk210378483"/>
      <w:r w:rsidRPr="00D27365">
        <w:rPr>
          <w:b/>
          <w:sz w:val="24"/>
          <w:szCs w:val="24"/>
          <w:lang w:val="hr-HR"/>
        </w:rPr>
        <w:t>DOSTAVITI:</w:t>
      </w:r>
    </w:p>
    <w:p w14:paraId="61B9B968" w14:textId="5F372930" w:rsidR="001A048B" w:rsidRDefault="001A048B" w:rsidP="001A048B">
      <w:pPr>
        <w:jc w:val="both"/>
        <w:rPr>
          <w:sz w:val="24"/>
          <w:szCs w:val="24"/>
          <w:lang w:val="hr-HR"/>
        </w:rPr>
      </w:pPr>
      <w:r>
        <w:rPr>
          <w:sz w:val="24"/>
          <w:szCs w:val="24"/>
          <w:lang w:val="hr-HR"/>
        </w:rPr>
        <w:t>1. Gradonačelnik, ovdje,</w:t>
      </w:r>
    </w:p>
    <w:p w14:paraId="2D0ABCE6" w14:textId="6233F811" w:rsidR="001A048B" w:rsidRDefault="001A048B" w:rsidP="001A048B">
      <w:pPr>
        <w:jc w:val="both"/>
        <w:rPr>
          <w:sz w:val="24"/>
          <w:szCs w:val="24"/>
          <w:lang w:val="hr-HR"/>
        </w:rPr>
      </w:pPr>
      <w:r>
        <w:rPr>
          <w:sz w:val="24"/>
          <w:szCs w:val="24"/>
          <w:lang w:val="hr-HR"/>
        </w:rPr>
        <w:t>2. Upravni odjel za društvene djelatnosti, ovdje,</w:t>
      </w:r>
    </w:p>
    <w:p w14:paraId="7EC09803" w14:textId="79928679" w:rsidR="001A048B" w:rsidRDefault="001A048B" w:rsidP="001A048B">
      <w:pPr>
        <w:jc w:val="both"/>
        <w:rPr>
          <w:sz w:val="24"/>
          <w:szCs w:val="24"/>
          <w:lang w:val="hr-HR"/>
        </w:rPr>
      </w:pPr>
      <w:r>
        <w:rPr>
          <w:sz w:val="24"/>
          <w:szCs w:val="24"/>
          <w:lang w:val="hr-HR"/>
        </w:rPr>
        <w:t xml:space="preserve">3. Umjetnička škola Poreč, </w:t>
      </w:r>
      <w:r w:rsidRPr="001A048B">
        <w:rPr>
          <w:sz w:val="24"/>
          <w:szCs w:val="24"/>
          <w:lang w:val="hr-HR"/>
        </w:rPr>
        <w:t xml:space="preserve">Narodni trg 1, 52440, </w:t>
      </w:r>
      <w:r>
        <w:rPr>
          <w:sz w:val="24"/>
          <w:szCs w:val="24"/>
          <w:lang w:val="hr-HR"/>
        </w:rPr>
        <w:t xml:space="preserve">52440 </w:t>
      </w:r>
      <w:r w:rsidRPr="001A048B">
        <w:rPr>
          <w:sz w:val="24"/>
          <w:szCs w:val="24"/>
          <w:lang w:val="hr-HR"/>
        </w:rPr>
        <w:t>Poreč</w:t>
      </w:r>
    </w:p>
    <w:p w14:paraId="0FFD8F89" w14:textId="78885733" w:rsidR="001A048B" w:rsidRPr="00D27365" w:rsidRDefault="001A048B" w:rsidP="001A048B">
      <w:pPr>
        <w:jc w:val="both"/>
        <w:rPr>
          <w:sz w:val="24"/>
          <w:szCs w:val="24"/>
          <w:lang w:val="hr-HR"/>
        </w:rPr>
      </w:pPr>
      <w:r>
        <w:rPr>
          <w:sz w:val="24"/>
          <w:szCs w:val="24"/>
          <w:lang w:val="hr-HR"/>
        </w:rPr>
        <w:t>4. Pismohrana, ovdje.</w:t>
      </w:r>
    </w:p>
    <w:bookmarkEnd w:id="0"/>
    <w:p w14:paraId="09F39F33" w14:textId="29E93484" w:rsidR="00E3689F" w:rsidRDefault="00E3689F" w:rsidP="00EE163D">
      <w:pPr>
        <w:tabs>
          <w:tab w:val="left" w:pos="993"/>
        </w:tabs>
        <w:rPr>
          <w:b/>
          <w:bCs/>
          <w:sz w:val="24"/>
          <w:szCs w:val="24"/>
          <w:lang w:val="hr-HR"/>
        </w:rPr>
      </w:pPr>
    </w:p>
    <w:p w14:paraId="72908531" w14:textId="4B2BF835" w:rsidR="00E0065F" w:rsidRDefault="009765C7" w:rsidP="0096664E">
      <w:pPr>
        <w:tabs>
          <w:tab w:val="left" w:pos="993"/>
        </w:tabs>
        <w:jc w:val="center"/>
        <w:rPr>
          <w:b/>
          <w:bCs/>
          <w:sz w:val="24"/>
          <w:szCs w:val="24"/>
          <w:lang w:val="hr-HR"/>
        </w:rPr>
      </w:pPr>
      <w:r w:rsidRPr="009765C7">
        <w:rPr>
          <w:b/>
          <w:bCs/>
          <w:noProof/>
          <w:sz w:val="24"/>
          <w:szCs w:val="24"/>
          <w:lang w:val="hr-HR"/>
        </w:rPr>
        <w:lastRenderedPageBreak/>
        <w:drawing>
          <wp:inline distT="0" distB="0" distL="0" distR="0" wp14:anchorId="70DDDF6B" wp14:editId="0AD107BB">
            <wp:extent cx="5506218" cy="7792537"/>
            <wp:effectExtent l="0" t="0" r="0" b="0"/>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506218" cy="7792537"/>
                    </a:xfrm>
                    <a:prstGeom prst="rect">
                      <a:avLst/>
                    </a:prstGeom>
                  </pic:spPr>
                </pic:pic>
              </a:graphicData>
            </a:graphic>
          </wp:inline>
        </w:drawing>
      </w:r>
    </w:p>
    <w:p w14:paraId="1C8C4F43" w14:textId="4DC96F17" w:rsidR="00E0065F" w:rsidRDefault="00E0065F" w:rsidP="0096664E">
      <w:pPr>
        <w:tabs>
          <w:tab w:val="left" w:pos="993"/>
        </w:tabs>
        <w:jc w:val="center"/>
        <w:rPr>
          <w:b/>
          <w:bCs/>
          <w:sz w:val="24"/>
          <w:szCs w:val="24"/>
          <w:lang w:val="hr-HR"/>
        </w:rPr>
      </w:pPr>
    </w:p>
    <w:p w14:paraId="43B7B692" w14:textId="79E3EA7C" w:rsidR="00E0065F" w:rsidRDefault="00E0065F" w:rsidP="0096664E">
      <w:pPr>
        <w:tabs>
          <w:tab w:val="left" w:pos="993"/>
        </w:tabs>
        <w:jc w:val="center"/>
        <w:rPr>
          <w:b/>
          <w:bCs/>
          <w:sz w:val="24"/>
          <w:szCs w:val="24"/>
          <w:lang w:val="hr-HR"/>
        </w:rPr>
      </w:pPr>
    </w:p>
    <w:p w14:paraId="29593193" w14:textId="5DCF8CAC" w:rsidR="00E0065F" w:rsidRDefault="00E0065F" w:rsidP="009765C7">
      <w:pPr>
        <w:tabs>
          <w:tab w:val="left" w:pos="993"/>
        </w:tabs>
        <w:rPr>
          <w:b/>
          <w:bCs/>
          <w:sz w:val="24"/>
          <w:szCs w:val="24"/>
          <w:lang w:val="hr-HR"/>
        </w:rPr>
      </w:pPr>
    </w:p>
    <w:p w14:paraId="7E548C21" w14:textId="492BC9C9" w:rsidR="00E0065F" w:rsidRDefault="00E0065F" w:rsidP="0096664E">
      <w:pPr>
        <w:tabs>
          <w:tab w:val="left" w:pos="993"/>
        </w:tabs>
        <w:jc w:val="center"/>
        <w:rPr>
          <w:b/>
          <w:bCs/>
          <w:sz w:val="24"/>
          <w:szCs w:val="24"/>
          <w:lang w:val="hr-HR"/>
        </w:rPr>
      </w:pPr>
    </w:p>
    <w:p w14:paraId="2FE8FB16" w14:textId="17F55762" w:rsidR="00EE163D" w:rsidRDefault="00EE163D" w:rsidP="0096664E">
      <w:pPr>
        <w:tabs>
          <w:tab w:val="left" w:pos="993"/>
        </w:tabs>
        <w:jc w:val="center"/>
        <w:rPr>
          <w:b/>
          <w:bCs/>
          <w:sz w:val="24"/>
          <w:szCs w:val="24"/>
          <w:lang w:val="hr-HR"/>
        </w:rPr>
      </w:pPr>
    </w:p>
    <w:p w14:paraId="3A25FCA8" w14:textId="77777777" w:rsidR="00EE163D" w:rsidRDefault="00EE163D" w:rsidP="0096664E">
      <w:pPr>
        <w:tabs>
          <w:tab w:val="left" w:pos="993"/>
        </w:tabs>
        <w:jc w:val="center"/>
        <w:rPr>
          <w:b/>
          <w:bCs/>
          <w:sz w:val="24"/>
          <w:szCs w:val="24"/>
          <w:lang w:val="hr-HR"/>
        </w:rPr>
      </w:pPr>
    </w:p>
    <w:p w14:paraId="4F0CB85F" w14:textId="529C5C9E" w:rsidR="0096664E" w:rsidRDefault="0096664E" w:rsidP="001B65E3">
      <w:pPr>
        <w:tabs>
          <w:tab w:val="left" w:pos="993"/>
        </w:tabs>
        <w:jc w:val="center"/>
        <w:rPr>
          <w:b/>
          <w:bCs/>
          <w:sz w:val="24"/>
          <w:szCs w:val="24"/>
          <w:lang w:val="hr-HR"/>
        </w:rPr>
      </w:pPr>
      <w:r>
        <w:rPr>
          <w:b/>
          <w:bCs/>
          <w:sz w:val="24"/>
          <w:szCs w:val="24"/>
          <w:lang w:val="hr-HR"/>
        </w:rPr>
        <w:lastRenderedPageBreak/>
        <w:t>Obrazloženje</w:t>
      </w:r>
    </w:p>
    <w:p w14:paraId="7F0B6DDC" w14:textId="77777777" w:rsidR="00AA5C1C" w:rsidRDefault="00AA5C1C" w:rsidP="001B65E3">
      <w:pPr>
        <w:tabs>
          <w:tab w:val="left" w:pos="993"/>
        </w:tabs>
        <w:jc w:val="center"/>
        <w:rPr>
          <w:b/>
          <w:bCs/>
          <w:sz w:val="24"/>
          <w:szCs w:val="24"/>
          <w:lang w:val="hr-HR"/>
        </w:rPr>
      </w:pPr>
    </w:p>
    <w:p w14:paraId="3609F9F7" w14:textId="77777777" w:rsidR="0096664E" w:rsidRDefault="0096664E" w:rsidP="0096664E">
      <w:pPr>
        <w:tabs>
          <w:tab w:val="left" w:pos="993"/>
          <w:tab w:val="center" w:pos="4153"/>
        </w:tabs>
        <w:rPr>
          <w:b/>
          <w:bCs/>
          <w:sz w:val="24"/>
          <w:szCs w:val="24"/>
          <w:lang w:val="hr-HR"/>
        </w:rPr>
      </w:pPr>
      <w:r>
        <w:rPr>
          <w:b/>
          <w:bCs/>
          <w:sz w:val="24"/>
          <w:szCs w:val="24"/>
          <w:lang w:val="hr-HR"/>
        </w:rPr>
        <w:t>Pravna osnova:</w:t>
      </w:r>
      <w:r>
        <w:rPr>
          <w:b/>
          <w:bCs/>
          <w:sz w:val="24"/>
          <w:szCs w:val="24"/>
          <w:lang w:val="hr-HR"/>
        </w:rPr>
        <w:tab/>
      </w:r>
    </w:p>
    <w:p w14:paraId="37C75053" w14:textId="510ED247" w:rsidR="0096664E" w:rsidRDefault="0096664E" w:rsidP="0096664E">
      <w:pPr>
        <w:tabs>
          <w:tab w:val="left" w:pos="993"/>
        </w:tabs>
        <w:jc w:val="both"/>
        <w:rPr>
          <w:bCs/>
          <w:sz w:val="24"/>
          <w:szCs w:val="24"/>
          <w:lang w:val="hr-HR"/>
        </w:rPr>
      </w:pPr>
      <w:r>
        <w:rPr>
          <w:sz w:val="24"/>
          <w:szCs w:val="24"/>
          <w:lang w:val="hr-HR"/>
        </w:rPr>
        <w:t xml:space="preserve">Pravna osnova za donošenje  </w:t>
      </w:r>
      <w:r w:rsidR="00C57AEB">
        <w:rPr>
          <w:sz w:val="24"/>
          <w:szCs w:val="24"/>
          <w:lang w:val="hr-HR"/>
        </w:rPr>
        <w:t>predložene</w:t>
      </w:r>
      <w:r>
        <w:rPr>
          <w:sz w:val="24"/>
          <w:szCs w:val="24"/>
          <w:lang w:val="hr-HR"/>
        </w:rPr>
        <w:t xml:space="preserve"> </w:t>
      </w:r>
      <w:r w:rsidR="00C57AEB">
        <w:rPr>
          <w:sz w:val="24"/>
          <w:szCs w:val="24"/>
          <w:lang w:val="hr-HR"/>
        </w:rPr>
        <w:t>Odluke</w:t>
      </w:r>
      <w:r>
        <w:rPr>
          <w:sz w:val="24"/>
          <w:szCs w:val="24"/>
          <w:lang w:val="hr-HR"/>
        </w:rPr>
        <w:t xml:space="preserve"> </w:t>
      </w:r>
      <w:r w:rsidR="00C57AEB">
        <w:rPr>
          <w:sz w:val="24"/>
          <w:szCs w:val="24"/>
          <w:lang w:val="hr-HR"/>
        </w:rPr>
        <w:t>je</w:t>
      </w:r>
      <w:r w:rsidR="00C57AEB" w:rsidRPr="00D27365">
        <w:rPr>
          <w:sz w:val="24"/>
          <w:szCs w:val="24"/>
          <w:lang w:val="hr-HR"/>
        </w:rPr>
        <w:t xml:space="preserve"> </w:t>
      </w:r>
      <w:r w:rsidR="00C57AEB" w:rsidRPr="004108A4">
        <w:rPr>
          <w:sz w:val="24"/>
          <w:szCs w:val="24"/>
          <w:lang w:val="hr-HR"/>
        </w:rPr>
        <w:t>Zakon o ustanovama (</w:t>
      </w:r>
      <w:r w:rsidR="00C57AEB">
        <w:rPr>
          <w:sz w:val="24"/>
          <w:szCs w:val="24"/>
          <w:lang w:val="hr-HR"/>
        </w:rPr>
        <w:t>„</w:t>
      </w:r>
      <w:r w:rsidR="00C57AEB" w:rsidRPr="004108A4">
        <w:rPr>
          <w:sz w:val="24"/>
          <w:szCs w:val="24"/>
          <w:lang w:val="hr-HR"/>
        </w:rPr>
        <w:t>Narodne novine</w:t>
      </w:r>
      <w:r w:rsidR="00C57AEB">
        <w:rPr>
          <w:sz w:val="24"/>
          <w:szCs w:val="24"/>
          <w:lang w:val="hr-HR"/>
        </w:rPr>
        <w:t>“</w:t>
      </w:r>
      <w:r w:rsidR="00C57AEB" w:rsidRPr="004108A4">
        <w:rPr>
          <w:sz w:val="24"/>
          <w:szCs w:val="24"/>
          <w:lang w:val="hr-HR"/>
        </w:rPr>
        <w:t xml:space="preserve"> br</w:t>
      </w:r>
      <w:r w:rsidR="00C57AEB">
        <w:rPr>
          <w:sz w:val="24"/>
          <w:szCs w:val="24"/>
          <w:lang w:val="hr-HR"/>
        </w:rPr>
        <w:t>oj</w:t>
      </w:r>
      <w:r w:rsidR="00C57AEB" w:rsidRPr="004108A4">
        <w:rPr>
          <w:sz w:val="24"/>
          <w:szCs w:val="24"/>
          <w:lang w:val="hr-HR"/>
        </w:rPr>
        <w:t xml:space="preserve"> 76/93, 29/97, 47/99, 35/08, 127/19, 151/22)</w:t>
      </w:r>
      <w:r w:rsidR="00FB50FD">
        <w:rPr>
          <w:sz w:val="24"/>
          <w:szCs w:val="24"/>
          <w:lang w:val="hr-HR"/>
        </w:rPr>
        <w:t xml:space="preserve"> i</w:t>
      </w:r>
      <w:r>
        <w:rPr>
          <w:sz w:val="24"/>
          <w:szCs w:val="24"/>
          <w:lang w:val="hr-HR"/>
        </w:rPr>
        <w:t xml:space="preserve"> </w:t>
      </w:r>
      <w:r>
        <w:rPr>
          <w:bCs/>
          <w:sz w:val="24"/>
          <w:szCs w:val="24"/>
          <w:lang w:val="hr-HR"/>
        </w:rPr>
        <w:t>Statut Grada Poreča-Parenzo (“Službeni glasnik Grada Poreča-Parenzo“ broj 2/13, 10/18</w:t>
      </w:r>
      <w:r w:rsidR="00B35156">
        <w:rPr>
          <w:bCs/>
          <w:sz w:val="24"/>
          <w:szCs w:val="24"/>
          <w:lang w:val="hr-HR"/>
        </w:rPr>
        <w:t>,</w:t>
      </w:r>
      <w:r>
        <w:rPr>
          <w:bCs/>
          <w:sz w:val="24"/>
          <w:szCs w:val="24"/>
          <w:lang w:val="hr-HR"/>
        </w:rPr>
        <w:t xml:space="preserve"> 2/21</w:t>
      </w:r>
      <w:r w:rsidR="00B35156">
        <w:rPr>
          <w:bCs/>
          <w:sz w:val="24"/>
          <w:szCs w:val="24"/>
          <w:lang w:val="hr-HR"/>
        </w:rPr>
        <w:t xml:space="preserve"> i 12/24</w:t>
      </w:r>
      <w:r>
        <w:rPr>
          <w:bCs/>
          <w:sz w:val="24"/>
          <w:szCs w:val="24"/>
          <w:lang w:val="hr-HR"/>
        </w:rPr>
        <w:t>).</w:t>
      </w:r>
    </w:p>
    <w:p w14:paraId="38BE8763" w14:textId="32BC1BB2" w:rsidR="00185F47" w:rsidRDefault="00C57AEB" w:rsidP="00185F47">
      <w:pPr>
        <w:tabs>
          <w:tab w:val="left" w:pos="993"/>
        </w:tabs>
        <w:jc w:val="both"/>
        <w:rPr>
          <w:sz w:val="24"/>
          <w:szCs w:val="24"/>
          <w:lang w:val="hr-HR"/>
        </w:rPr>
      </w:pPr>
      <w:r>
        <w:rPr>
          <w:sz w:val="24"/>
          <w:szCs w:val="24"/>
          <w:lang w:val="hr-HR"/>
        </w:rPr>
        <w:t>Člankom</w:t>
      </w:r>
      <w:r w:rsidRPr="00D27365">
        <w:rPr>
          <w:sz w:val="24"/>
          <w:szCs w:val="24"/>
          <w:lang w:val="hr-HR"/>
        </w:rPr>
        <w:t xml:space="preserve"> </w:t>
      </w:r>
      <w:r>
        <w:rPr>
          <w:sz w:val="24"/>
          <w:szCs w:val="24"/>
          <w:lang w:val="hr-HR"/>
        </w:rPr>
        <w:t>29</w:t>
      </w:r>
      <w:r w:rsidRPr="00D27365">
        <w:rPr>
          <w:sz w:val="24"/>
          <w:szCs w:val="24"/>
          <w:lang w:val="hr-HR"/>
        </w:rPr>
        <w:t xml:space="preserve">. </w:t>
      </w:r>
      <w:r w:rsidR="00FB50FD">
        <w:rPr>
          <w:sz w:val="24"/>
          <w:szCs w:val="24"/>
          <w:lang w:val="hr-HR"/>
        </w:rPr>
        <w:t>stavkom</w:t>
      </w:r>
      <w:r w:rsidRPr="00D27365">
        <w:rPr>
          <w:sz w:val="24"/>
          <w:szCs w:val="24"/>
          <w:lang w:val="hr-HR"/>
        </w:rPr>
        <w:t xml:space="preserve"> </w:t>
      </w:r>
      <w:r>
        <w:rPr>
          <w:sz w:val="24"/>
          <w:szCs w:val="24"/>
          <w:lang w:val="hr-HR"/>
        </w:rPr>
        <w:t>2</w:t>
      </w:r>
      <w:r w:rsidRPr="00D27365">
        <w:rPr>
          <w:sz w:val="24"/>
          <w:szCs w:val="24"/>
          <w:lang w:val="hr-HR"/>
        </w:rPr>
        <w:t xml:space="preserve">. </w:t>
      </w:r>
      <w:r w:rsidRPr="004108A4">
        <w:rPr>
          <w:sz w:val="24"/>
          <w:szCs w:val="24"/>
          <w:lang w:val="hr-HR"/>
        </w:rPr>
        <w:t>Zakon</w:t>
      </w:r>
      <w:r>
        <w:rPr>
          <w:sz w:val="24"/>
          <w:szCs w:val="24"/>
          <w:lang w:val="hr-HR"/>
        </w:rPr>
        <w:t>a</w:t>
      </w:r>
      <w:r w:rsidRPr="004108A4">
        <w:rPr>
          <w:sz w:val="24"/>
          <w:szCs w:val="24"/>
          <w:lang w:val="hr-HR"/>
        </w:rPr>
        <w:t xml:space="preserve"> o ustanovama </w:t>
      </w:r>
      <w:r w:rsidR="0096664E">
        <w:rPr>
          <w:sz w:val="24"/>
          <w:szCs w:val="24"/>
          <w:lang w:val="hr-HR"/>
        </w:rPr>
        <w:t xml:space="preserve">određeno je da </w:t>
      </w:r>
      <w:r w:rsidR="00185F47" w:rsidRPr="00185F47">
        <w:rPr>
          <w:sz w:val="24"/>
          <w:szCs w:val="24"/>
          <w:lang w:val="hr-HR"/>
        </w:rPr>
        <w:t xml:space="preserve">Odluku o promjeni djelatnosti donosi upravno vijeće ustanove uz prethodnu suglasnost osnivača, ako zakonom ili aktom o osnivanju nije drugačije određeno. </w:t>
      </w:r>
    </w:p>
    <w:p w14:paraId="51F7C2C9" w14:textId="7C13AA1E" w:rsidR="0096664E" w:rsidRDefault="0096664E" w:rsidP="00185F47">
      <w:pPr>
        <w:tabs>
          <w:tab w:val="left" w:pos="993"/>
        </w:tabs>
        <w:jc w:val="both"/>
        <w:rPr>
          <w:sz w:val="24"/>
          <w:szCs w:val="24"/>
          <w:lang w:val="hr-HR"/>
        </w:rPr>
      </w:pPr>
      <w:r>
        <w:rPr>
          <w:sz w:val="24"/>
          <w:szCs w:val="24"/>
          <w:lang w:val="hr-HR"/>
        </w:rPr>
        <w:t>Člankom 41. stavkom 1. Statuta Grada Poreča-Parenzo određeno je da Gradsko vijeće, između ostalih poslova taksativno navedenih u ovom članku, obavlja i druge poslove koji su mu stavljeni u djelokrug zakonom ili drugim propisom.</w:t>
      </w:r>
    </w:p>
    <w:p w14:paraId="28F88272" w14:textId="76D1261B" w:rsidR="0096664E" w:rsidRDefault="0096664E" w:rsidP="0096664E">
      <w:pPr>
        <w:tabs>
          <w:tab w:val="left" w:pos="993"/>
        </w:tabs>
        <w:rPr>
          <w:b/>
          <w:bCs/>
          <w:sz w:val="24"/>
          <w:szCs w:val="24"/>
          <w:lang w:val="hr-HR"/>
        </w:rPr>
      </w:pPr>
      <w:r>
        <w:rPr>
          <w:b/>
          <w:bCs/>
          <w:sz w:val="24"/>
          <w:szCs w:val="24"/>
          <w:lang w:val="hr-HR"/>
        </w:rPr>
        <w:t>Ocjena stanja:</w:t>
      </w:r>
    </w:p>
    <w:p w14:paraId="3B22FD85" w14:textId="31628D0F" w:rsidR="00AA5C1C" w:rsidRPr="00AA5C1C" w:rsidRDefault="009765C7" w:rsidP="00AA5C1C">
      <w:pPr>
        <w:jc w:val="both"/>
        <w:rPr>
          <w:sz w:val="24"/>
          <w:szCs w:val="24"/>
          <w:lang w:val="hr-HR"/>
        </w:rPr>
      </w:pPr>
      <w:proofErr w:type="spellStart"/>
      <w:r>
        <w:rPr>
          <w:bCs/>
          <w:sz w:val="24"/>
          <w:szCs w:val="24"/>
        </w:rPr>
        <w:t>Umjetnička</w:t>
      </w:r>
      <w:proofErr w:type="spellEnd"/>
      <w:r>
        <w:rPr>
          <w:bCs/>
          <w:sz w:val="24"/>
          <w:szCs w:val="24"/>
        </w:rPr>
        <w:t xml:space="preserve"> </w:t>
      </w:r>
      <w:proofErr w:type="spellStart"/>
      <w:r>
        <w:rPr>
          <w:bCs/>
          <w:sz w:val="24"/>
          <w:szCs w:val="24"/>
        </w:rPr>
        <w:t>škola</w:t>
      </w:r>
      <w:proofErr w:type="spellEnd"/>
      <w:r>
        <w:rPr>
          <w:bCs/>
          <w:sz w:val="24"/>
          <w:szCs w:val="24"/>
        </w:rPr>
        <w:t xml:space="preserve"> Poreč</w:t>
      </w:r>
      <w:r w:rsidRPr="00E60352">
        <w:rPr>
          <w:bCs/>
          <w:sz w:val="24"/>
          <w:szCs w:val="24"/>
        </w:rPr>
        <w:t xml:space="preserve"> </w:t>
      </w:r>
      <w:r w:rsidRPr="00454545">
        <w:rPr>
          <w:sz w:val="24"/>
          <w:szCs w:val="24"/>
        </w:rPr>
        <w:t>(</w:t>
      </w:r>
      <w:proofErr w:type="spellStart"/>
      <w:r w:rsidRPr="00454545">
        <w:rPr>
          <w:sz w:val="24"/>
          <w:szCs w:val="24"/>
        </w:rPr>
        <w:t>dalje</w:t>
      </w:r>
      <w:proofErr w:type="spellEnd"/>
      <w:r w:rsidRPr="00454545">
        <w:rPr>
          <w:sz w:val="24"/>
          <w:szCs w:val="24"/>
        </w:rPr>
        <w:t xml:space="preserve"> u </w:t>
      </w:r>
      <w:proofErr w:type="spellStart"/>
      <w:r w:rsidRPr="00454545">
        <w:rPr>
          <w:sz w:val="24"/>
          <w:szCs w:val="24"/>
        </w:rPr>
        <w:t>tekstu</w:t>
      </w:r>
      <w:proofErr w:type="spellEnd"/>
      <w:r w:rsidRPr="00454545">
        <w:rPr>
          <w:sz w:val="24"/>
          <w:szCs w:val="24"/>
        </w:rPr>
        <w:t>:</w:t>
      </w:r>
      <w:r>
        <w:rPr>
          <w:sz w:val="24"/>
          <w:szCs w:val="24"/>
        </w:rPr>
        <w:t xml:space="preserve"> </w:t>
      </w:r>
      <w:proofErr w:type="spellStart"/>
      <w:r>
        <w:rPr>
          <w:sz w:val="24"/>
          <w:szCs w:val="24"/>
        </w:rPr>
        <w:t>Škola</w:t>
      </w:r>
      <w:proofErr w:type="spellEnd"/>
      <w:r w:rsidRPr="00454545">
        <w:rPr>
          <w:sz w:val="24"/>
          <w:szCs w:val="24"/>
        </w:rPr>
        <w:t>)</w:t>
      </w:r>
      <w:r>
        <w:rPr>
          <w:sz w:val="24"/>
          <w:szCs w:val="24"/>
        </w:rPr>
        <w:t xml:space="preserve">, </w:t>
      </w:r>
      <w:proofErr w:type="spellStart"/>
      <w:r>
        <w:rPr>
          <w:sz w:val="24"/>
          <w:szCs w:val="24"/>
        </w:rPr>
        <w:t>zastupana</w:t>
      </w:r>
      <w:proofErr w:type="spellEnd"/>
      <w:r>
        <w:rPr>
          <w:sz w:val="24"/>
          <w:szCs w:val="24"/>
        </w:rPr>
        <w:t xml:space="preserve"> po </w:t>
      </w:r>
      <w:proofErr w:type="spellStart"/>
      <w:r>
        <w:rPr>
          <w:sz w:val="24"/>
          <w:szCs w:val="24"/>
        </w:rPr>
        <w:t>ravnateljici</w:t>
      </w:r>
      <w:proofErr w:type="spellEnd"/>
      <w:r>
        <w:rPr>
          <w:sz w:val="24"/>
          <w:szCs w:val="24"/>
        </w:rPr>
        <w:t xml:space="preserve"> </w:t>
      </w:r>
      <w:proofErr w:type="spellStart"/>
      <w:r w:rsidRPr="009765C7">
        <w:rPr>
          <w:sz w:val="24"/>
          <w:szCs w:val="24"/>
        </w:rPr>
        <w:t>Sanjic</w:t>
      </w:r>
      <w:r>
        <w:rPr>
          <w:sz w:val="24"/>
          <w:szCs w:val="24"/>
        </w:rPr>
        <w:t>i</w:t>
      </w:r>
      <w:proofErr w:type="spellEnd"/>
      <w:r w:rsidRPr="009765C7">
        <w:rPr>
          <w:sz w:val="24"/>
          <w:szCs w:val="24"/>
        </w:rPr>
        <w:t xml:space="preserve"> Sar</w:t>
      </w:r>
      <w:r>
        <w:rPr>
          <w:sz w:val="24"/>
          <w:szCs w:val="24"/>
        </w:rPr>
        <w:t>i</w:t>
      </w:r>
      <w:r w:rsidRPr="009765C7">
        <w:rPr>
          <w:sz w:val="24"/>
          <w:szCs w:val="24"/>
        </w:rPr>
        <w:t xml:space="preserve"> </w:t>
      </w:r>
      <w:proofErr w:type="spellStart"/>
      <w:r w:rsidRPr="009765C7">
        <w:rPr>
          <w:sz w:val="24"/>
          <w:szCs w:val="24"/>
        </w:rPr>
        <w:t>Radeti</w:t>
      </w:r>
      <w:r>
        <w:rPr>
          <w:sz w:val="24"/>
          <w:szCs w:val="24"/>
        </w:rPr>
        <w:t>ć</w:t>
      </w:r>
      <w:proofErr w:type="spellEnd"/>
      <w:r>
        <w:rPr>
          <w:sz w:val="24"/>
          <w:szCs w:val="24"/>
        </w:rPr>
        <w:t>,</w:t>
      </w:r>
      <w:r w:rsidRPr="00454545">
        <w:rPr>
          <w:sz w:val="24"/>
          <w:szCs w:val="24"/>
        </w:rPr>
        <w:t xml:space="preserve"> </w:t>
      </w:r>
      <w:proofErr w:type="spellStart"/>
      <w:r w:rsidRPr="00454545">
        <w:rPr>
          <w:sz w:val="24"/>
          <w:szCs w:val="24"/>
        </w:rPr>
        <w:t>obrati</w:t>
      </w:r>
      <w:r>
        <w:rPr>
          <w:sz w:val="24"/>
          <w:szCs w:val="24"/>
        </w:rPr>
        <w:t>la</w:t>
      </w:r>
      <w:proofErr w:type="spellEnd"/>
      <w:r w:rsidRPr="00454545">
        <w:rPr>
          <w:sz w:val="24"/>
          <w:szCs w:val="24"/>
        </w:rPr>
        <w:t xml:space="preserve"> se </w:t>
      </w:r>
      <w:proofErr w:type="spellStart"/>
      <w:r w:rsidRPr="00454545">
        <w:rPr>
          <w:sz w:val="24"/>
          <w:szCs w:val="24"/>
        </w:rPr>
        <w:t>Gradu</w:t>
      </w:r>
      <w:proofErr w:type="spellEnd"/>
      <w:r w:rsidRPr="00454545">
        <w:rPr>
          <w:sz w:val="24"/>
          <w:szCs w:val="24"/>
        </w:rPr>
        <w:t xml:space="preserve"> </w:t>
      </w:r>
      <w:proofErr w:type="spellStart"/>
      <w:r w:rsidRPr="00454545">
        <w:rPr>
          <w:sz w:val="24"/>
          <w:szCs w:val="24"/>
        </w:rPr>
        <w:t>Poreču</w:t>
      </w:r>
      <w:proofErr w:type="spellEnd"/>
      <w:r w:rsidRPr="00454545">
        <w:rPr>
          <w:sz w:val="24"/>
          <w:szCs w:val="24"/>
        </w:rPr>
        <w:t xml:space="preserve">-Parenzo, </w:t>
      </w:r>
      <w:proofErr w:type="spellStart"/>
      <w:r w:rsidRPr="00454545">
        <w:rPr>
          <w:sz w:val="24"/>
          <w:szCs w:val="24"/>
        </w:rPr>
        <w:t>putem</w:t>
      </w:r>
      <w:proofErr w:type="spellEnd"/>
      <w:r w:rsidRPr="00454545">
        <w:rPr>
          <w:sz w:val="24"/>
          <w:szCs w:val="24"/>
        </w:rPr>
        <w:t xml:space="preserve"> </w:t>
      </w:r>
      <w:proofErr w:type="spellStart"/>
      <w:r w:rsidRPr="00454545">
        <w:rPr>
          <w:bCs/>
          <w:sz w:val="24"/>
          <w:szCs w:val="24"/>
        </w:rPr>
        <w:t>Upravnog</w:t>
      </w:r>
      <w:proofErr w:type="spellEnd"/>
      <w:r w:rsidRPr="00454545">
        <w:rPr>
          <w:bCs/>
          <w:sz w:val="24"/>
          <w:szCs w:val="24"/>
        </w:rPr>
        <w:t xml:space="preserve"> </w:t>
      </w:r>
      <w:proofErr w:type="spellStart"/>
      <w:r w:rsidRPr="00454545">
        <w:rPr>
          <w:bCs/>
          <w:sz w:val="24"/>
          <w:szCs w:val="24"/>
        </w:rPr>
        <w:t>odjela</w:t>
      </w:r>
      <w:proofErr w:type="spellEnd"/>
      <w:r w:rsidRPr="00454545">
        <w:rPr>
          <w:bCs/>
          <w:sz w:val="24"/>
          <w:szCs w:val="24"/>
        </w:rPr>
        <w:t xml:space="preserve"> za </w:t>
      </w:r>
      <w:proofErr w:type="spellStart"/>
      <w:r w:rsidRPr="00454545">
        <w:rPr>
          <w:bCs/>
          <w:sz w:val="24"/>
          <w:szCs w:val="24"/>
        </w:rPr>
        <w:t>društvene</w:t>
      </w:r>
      <w:proofErr w:type="spellEnd"/>
      <w:r w:rsidRPr="00454545">
        <w:rPr>
          <w:bCs/>
          <w:sz w:val="24"/>
          <w:szCs w:val="24"/>
        </w:rPr>
        <w:t xml:space="preserve"> </w:t>
      </w:r>
      <w:proofErr w:type="spellStart"/>
      <w:r w:rsidRPr="00454545">
        <w:rPr>
          <w:bCs/>
          <w:sz w:val="24"/>
          <w:szCs w:val="24"/>
        </w:rPr>
        <w:t>djelatnosti</w:t>
      </w:r>
      <w:proofErr w:type="spellEnd"/>
      <w:r w:rsidRPr="00454545">
        <w:rPr>
          <w:bCs/>
          <w:sz w:val="24"/>
          <w:szCs w:val="24"/>
        </w:rPr>
        <w:t xml:space="preserve">, </w:t>
      </w:r>
      <w:r>
        <w:rPr>
          <w:bCs/>
          <w:color w:val="000000" w:themeColor="text1"/>
          <w:sz w:val="24"/>
          <w:szCs w:val="24"/>
        </w:rPr>
        <w:t xml:space="preserve">9. </w:t>
      </w:r>
      <w:proofErr w:type="spellStart"/>
      <w:r>
        <w:rPr>
          <w:bCs/>
          <w:color w:val="000000" w:themeColor="text1"/>
          <w:sz w:val="24"/>
          <w:szCs w:val="24"/>
        </w:rPr>
        <w:t>Rujna</w:t>
      </w:r>
      <w:proofErr w:type="spellEnd"/>
      <w:r>
        <w:rPr>
          <w:bCs/>
          <w:color w:val="000000" w:themeColor="text1"/>
          <w:sz w:val="24"/>
          <w:szCs w:val="24"/>
        </w:rPr>
        <w:t xml:space="preserve"> 2025. </w:t>
      </w:r>
      <w:proofErr w:type="spellStart"/>
      <w:r w:rsidR="00DA60F7">
        <w:rPr>
          <w:bCs/>
          <w:color w:val="000000" w:themeColor="text1"/>
          <w:sz w:val="24"/>
          <w:szCs w:val="24"/>
        </w:rPr>
        <w:t>G</w:t>
      </w:r>
      <w:r>
        <w:rPr>
          <w:bCs/>
          <w:color w:val="000000" w:themeColor="text1"/>
          <w:sz w:val="24"/>
          <w:szCs w:val="24"/>
        </w:rPr>
        <w:t>odine</w:t>
      </w:r>
      <w:proofErr w:type="spellEnd"/>
      <w:r w:rsidR="00DA60F7">
        <w:rPr>
          <w:bCs/>
          <w:sz w:val="24"/>
          <w:szCs w:val="24"/>
        </w:rPr>
        <w:t xml:space="preserve"> </w:t>
      </w:r>
      <w:r w:rsidRPr="00454545">
        <w:rPr>
          <w:sz w:val="24"/>
          <w:szCs w:val="24"/>
        </w:rPr>
        <w:t xml:space="preserve">s </w:t>
      </w:r>
      <w:proofErr w:type="spellStart"/>
      <w:r w:rsidRPr="00454545">
        <w:rPr>
          <w:sz w:val="24"/>
          <w:szCs w:val="24"/>
        </w:rPr>
        <w:t>molbom</w:t>
      </w:r>
      <w:proofErr w:type="spellEnd"/>
      <w:r w:rsidRPr="00454545">
        <w:rPr>
          <w:sz w:val="24"/>
          <w:szCs w:val="24"/>
        </w:rPr>
        <w:t xml:space="preserve"> da Grad Poreč-Parenzo</w:t>
      </w:r>
      <w:r>
        <w:rPr>
          <w:sz w:val="24"/>
          <w:szCs w:val="24"/>
        </w:rPr>
        <w:t>,</w:t>
      </w:r>
      <w:r w:rsidRPr="00454545">
        <w:rPr>
          <w:sz w:val="24"/>
          <w:szCs w:val="24"/>
        </w:rPr>
        <w:t xml:space="preserve"> </w:t>
      </w:r>
      <w:proofErr w:type="spellStart"/>
      <w:r w:rsidRPr="00454545">
        <w:rPr>
          <w:sz w:val="24"/>
          <w:szCs w:val="24"/>
        </w:rPr>
        <w:t>kao</w:t>
      </w:r>
      <w:proofErr w:type="spellEnd"/>
      <w:r>
        <w:rPr>
          <w:sz w:val="24"/>
          <w:szCs w:val="24"/>
        </w:rPr>
        <w:t xml:space="preserve"> </w:t>
      </w:r>
      <w:proofErr w:type="spellStart"/>
      <w:r>
        <w:rPr>
          <w:sz w:val="24"/>
          <w:szCs w:val="24"/>
        </w:rPr>
        <w:t>O</w:t>
      </w:r>
      <w:r w:rsidRPr="00454545">
        <w:rPr>
          <w:sz w:val="24"/>
          <w:szCs w:val="24"/>
        </w:rPr>
        <w:t>snivač</w:t>
      </w:r>
      <w:proofErr w:type="spellEnd"/>
      <w:r w:rsidRPr="00454545">
        <w:rPr>
          <w:sz w:val="24"/>
          <w:szCs w:val="24"/>
        </w:rPr>
        <w:t xml:space="preserve"> </w:t>
      </w:r>
      <w:proofErr w:type="spellStart"/>
      <w:r w:rsidRPr="00454545">
        <w:rPr>
          <w:sz w:val="24"/>
          <w:szCs w:val="24"/>
        </w:rPr>
        <w:t>ove</w:t>
      </w:r>
      <w:proofErr w:type="spellEnd"/>
      <w:r w:rsidRPr="00454545">
        <w:rPr>
          <w:sz w:val="24"/>
          <w:szCs w:val="24"/>
        </w:rPr>
        <w:t xml:space="preserve"> </w:t>
      </w:r>
      <w:proofErr w:type="spellStart"/>
      <w:r w:rsidRPr="00454545">
        <w:rPr>
          <w:sz w:val="24"/>
          <w:szCs w:val="24"/>
        </w:rPr>
        <w:t>ustanove</w:t>
      </w:r>
      <w:proofErr w:type="spellEnd"/>
      <w:r>
        <w:rPr>
          <w:sz w:val="24"/>
          <w:szCs w:val="24"/>
        </w:rPr>
        <w:t>,</w:t>
      </w:r>
      <w:r w:rsidRPr="00454545">
        <w:rPr>
          <w:sz w:val="24"/>
          <w:szCs w:val="24"/>
        </w:rPr>
        <w:t xml:space="preserve"> </w:t>
      </w:r>
      <w:proofErr w:type="spellStart"/>
      <w:r>
        <w:rPr>
          <w:sz w:val="24"/>
          <w:szCs w:val="24"/>
        </w:rPr>
        <w:t>izda</w:t>
      </w:r>
      <w:proofErr w:type="spellEnd"/>
      <w:r w:rsidRPr="00454545">
        <w:rPr>
          <w:sz w:val="24"/>
          <w:szCs w:val="24"/>
        </w:rPr>
        <w:t xml:space="preserve"> </w:t>
      </w:r>
      <w:proofErr w:type="spellStart"/>
      <w:r w:rsidRPr="00454545">
        <w:rPr>
          <w:sz w:val="24"/>
          <w:szCs w:val="24"/>
        </w:rPr>
        <w:t>prethodnu</w:t>
      </w:r>
      <w:proofErr w:type="spellEnd"/>
      <w:r w:rsidRPr="00454545">
        <w:rPr>
          <w:sz w:val="24"/>
          <w:szCs w:val="24"/>
        </w:rPr>
        <w:t xml:space="preserve"> </w:t>
      </w:r>
      <w:proofErr w:type="spellStart"/>
      <w:r w:rsidRPr="00454545">
        <w:rPr>
          <w:sz w:val="24"/>
          <w:szCs w:val="24"/>
        </w:rPr>
        <w:t>suglasnost</w:t>
      </w:r>
      <w:proofErr w:type="spellEnd"/>
      <w:r w:rsidRPr="00454545">
        <w:rPr>
          <w:sz w:val="24"/>
          <w:szCs w:val="24"/>
        </w:rPr>
        <w:t xml:space="preserve"> </w:t>
      </w:r>
      <w:r w:rsidR="0096664E">
        <w:rPr>
          <w:sz w:val="24"/>
          <w:szCs w:val="24"/>
          <w:lang w:val="hr-HR"/>
        </w:rPr>
        <w:t xml:space="preserve">na </w:t>
      </w:r>
      <w:r w:rsidRPr="009765C7">
        <w:rPr>
          <w:bCs/>
          <w:iCs/>
          <w:sz w:val="24"/>
          <w:szCs w:val="24"/>
          <w:lang w:val="hr-HR"/>
        </w:rPr>
        <w:t>prijedlog Odluke o proširenju djelatnosti Umjetničke škole Poreč</w:t>
      </w:r>
      <w:r>
        <w:rPr>
          <w:bCs/>
          <w:i/>
          <w:sz w:val="24"/>
          <w:szCs w:val="24"/>
          <w:lang w:val="hr-HR"/>
        </w:rPr>
        <w:t>.</w:t>
      </w:r>
      <w:r w:rsidR="0096664E">
        <w:rPr>
          <w:bCs/>
          <w:sz w:val="24"/>
          <w:szCs w:val="24"/>
          <w:lang w:val="hr-HR"/>
        </w:rPr>
        <w:t xml:space="preserve"> </w:t>
      </w:r>
      <w:r w:rsidR="00DA60F7">
        <w:rPr>
          <w:sz w:val="24"/>
          <w:szCs w:val="24"/>
          <w:lang w:val="hr-HR"/>
        </w:rPr>
        <w:t>Prijedlog Odluk</w:t>
      </w:r>
      <w:r w:rsidR="00312A42">
        <w:rPr>
          <w:sz w:val="24"/>
          <w:szCs w:val="24"/>
          <w:lang w:val="hr-HR"/>
        </w:rPr>
        <w:t>e</w:t>
      </w:r>
      <w:r>
        <w:rPr>
          <w:sz w:val="24"/>
          <w:szCs w:val="24"/>
          <w:lang w:val="hr-HR"/>
        </w:rPr>
        <w:t xml:space="preserve"> je</w:t>
      </w:r>
      <w:r w:rsidR="0096664E">
        <w:rPr>
          <w:sz w:val="24"/>
          <w:szCs w:val="24"/>
          <w:lang w:val="hr-HR"/>
        </w:rPr>
        <w:t xml:space="preserve"> Školski odbor donio na sjednici </w:t>
      </w:r>
      <w:r>
        <w:rPr>
          <w:sz w:val="24"/>
          <w:szCs w:val="24"/>
          <w:lang w:val="hr-HR"/>
        </w:rPr>
        <w:t>9. rujna 2025. godine, KLASA: 011-03/25-03/2, URBROJ: 2163-6-57-34-25-1</w:t>
      </w:r>
      <w:r w:rsidR="00AA5C1C">
        <w:rPr>
          <w:sz w:val="24"/>
          <w:szCs w:val="24"/>
          <w:lang w:val="hr-HR"/>
        </w:rPr>
        <w:t xml:space="preserve">, sukladno članku 118. stavku 2. Zakona </w:t>
      </w:r>
      <w:r w:rsidR="00AA5C1C" w:rsidRPr="001B65E3">
        <w:rPr>
          <w:sz w:val="24"/>
          <w:szCs w:val="24"/>
          <w:lang w:val="hr-HR"/>
        </w:rPr>
        <w:t>o odgoju i obrazovanju u osnovnoj i srednjoj školi</w:t>
      </w:r>
      <w:r w:rsidR="00AA5C1C">
        <w:rPr>
          <w:sz w:val="24"/>
          <w:szCs w:val="24"/>
          <w:lang w:val="hr-HR"/>
        </w:rPr>
        <w:t xml:space="preserve"> </w:t>
      </w:r>
      <w:r w:rsidR="00AA5C1C" w:rsidRPr="001B65E3">
        <w:rPr>
          <w:sz w:val="24"/>
          <w:szCs w:val="24"/>
          <w:lang w:val="hr-HR"/>
        </w:rPr>
        <w:t>(</w:t>
      </w:r>
      <w:r w:rsidR="00AA5C1C">
        <w:rPr>
          <w:sz w:val="24"/>
          <w:szCs w:val="24"/>
          <w:lang w:val="hr-HR"/>
        </w:rPr>
        <w:t>„</w:t>
      </w:r>
      <w:r w:rsidR="00AA5C1C" w:rsidRPr="001B65E3">
        <w:rPr>
          <w:sz w:val="24"/>
          <w:szCs w:val="24"/>
          <w:lang w:val="hr-HR"/>
        </w:rPr>
        <w:t>Narodne novine</w:t>
      </w:r>
      <w:r w:rsidR="00AA5C1C">
        <w:rPr>
          <w:sz w:val="24"/>
          <w:szCs w:val="24"/>
          <w:lang w:val="hr-HR"/>
        </w:rPr>
        <w:t>“</w:t>
      </w:r>
      <w:r w:rsidR="00AA5C1C" w:rsidRPr="001B65E3">
        <w:rPr>
          <w:sz w:val="24"/>
          <w:szCs w:val="24"/>
          <w:lang w:val="hr-HR"/>
        </w:rPr>
        <w:t xml:space="preserve"> br</w:t>
      </w:r>
      <w:r w:rsidR="00AA5C1C">
        <w:rPr>
          <w:sz w:val="24"/>
          <w:szCs w:val="24"/>
          <w:lang w:val="hr-HR"/>
        </w:rPr>
        <w:t>oj</w:t>
      </w:r>
      <w:r w:rsidR="00AA5C1C" w:rsidRPr="001B65E3">
        <w:rPr>
          <w:sz w:val="24"/>
          <w:szCs w:val="24"/>
          <w:lang w:val="hr-HR"/>
        </w:rPr>
        <w:t xml:space="preserve"> 87/08, 86/09, 92/10, 105/10, 90/11, 5/12, 16/12, 86/12, 126/12, 94/13, 152/14, 7/17, 68/18, 98/19, 64/20, 133/20, 151/22, 155/23, 156/23</w:t>
      </w:r>
      <w:r w:rsidR="00AA5C1C">
        <w:rPr>
          <w:sz w:val="24"/>
          <w:szCs w:val="24"/>
          <w:lang w:val="hr-HR"/>
        </w:rPr>
        <w:t>, dalje u tekstu: Zakon</w:t>
      </w:r>
      <w:r w:rsidR="00AA5C1C" w:rsidRPr="001B65E3">
        <w:rPr>
          <w:sz w:val="24"/>
          <w:szCs w:val="24"/>
          <w:lang w:val="hr-HR"/>
        </w:rPr>
        <w:t>)</w:t>
      </w:r>
      <w:r w:rsidR="00AA5C1C">
        <w:rPr>
          <w:sz w:val="24"/>
          <w:szCs w:val="24"/>
          <w:lang w:val="hr-HR"/>
        </w:rPr>
        <w:t xml:space="preserve"> kojim je određeno da Školski odbor, između ostalih poslova taksativno navedenih u ovom članku, </w:t>
      </w:r>
      <w:r w:rsidR="00AA5C1C" w:rsidRPr="001B65E3">
        <w:rPr>
          <w:sz w:val="24"/>
          <w:szCs w:val="24"/>
          <w:lang w:val="hr-HR"/>
        </w:rPr>
        <w:t>predlaže osnivaču promjenu djelatnosti i donošenje drugih odluka vezanih uz osnivačka prava</w:t>
      </w:r>
      <w:r w:rsidR="00AA5C1C">
        <w:rPr>
          <w:sz w:val="24"/>
          <w:szCs w:val="24"/>
          <w:lang w:val="hr-HR"/>
        </w:rPr>
        <w:t>.</w:t>
      </w:r>
    </w:p>
    <w:p w14:paraId="0B66566D" w14:textId="5746BBB9" w:rsidR="009765C7" w:rsidRDefault="009765C7" w:rsidP="0013188A">
      <w:pPr>
        <w:jc w:val="both"/>
        <w:rPr>
          <w:sz w:val="24"/>
          <w:szCs w:val="24"/>
          <w:lang w:val="hr-HR"/>
        </w:rPr>
      </w:pPr>
      <w:r>
        <w:rPr>
          <w:sz w:val="24"/>
          <w:szCs w:val="24"/>
          <w:lang w:val="hr-HR"/>
        </w:rPr>
        <w:t xml:space="preserve">Umjetnička škola Poreč zadovoljava sve propisane materijalne, prostorne i kadrovske uvjete za uvođenje programa tambure, udaraljke, saksofon i </w:t>
      </w:r>
      <w:r w:rsidR="00DA60F7">
        <w:rPr>
          <w:sz w:val="24"/>
          <w:szCs w:val="24"/>
          <w:lang w:val="hr-HR"/>
        </w:rPr>
        <w:t>klarinet. Uvođenjem novih programa ispuniti će se potrebe djece i roditelja, povećati će se obuhvat učenika u osnovnom i srednjem glazbenom obrazovanju čime će se omogućiti obrazovanje stručnog kadra i profesionalnih glazbenika.</w:t>
      </w:r>
      <w:r w:rsidR="0013188A">
        <w:rPr>
          <w:sz w:val="24"/>
          <w:szCs w:val="24"/>
          <w:lang w:val="hr-HR"/>
        </w:rPr>
        <w:t xml:space="preserve"> Navedeno je u skladu s člankom 92. stavkom 2.</w:t>
      </w:r>
      <w:r w:rsidR="0013188A" w:rsidRPr="0013188A">
        <w:rPr>
          <w:sz w:val="24"/>
          <w:szCs w:val="24"/>
          <w:lang w:val="hr-HR"/>
        </w:rPr>
        <w:t xml:space="preserve"> </w:t>
      </w:r>
      <w:r w:rsidR="0013188A" w:rsidRPr="001B65E3">
        <w:rPr>
          <w:sz w:val="24"/>
          <w:szCs w:val="24"/>
          <w:lang w:val="hr-HR"/>
        </w:rPr>
        <w:t>Zakon</w:t>
      </w:r>
      <w:r w:rsidR="0013188A">
        <w:rPr>
          <w:sz w:val="24"/>
          <w:szCs w:val="24"/>
          <w:lang w:val="hr-HR"/>
        </w:rPr>
        <w:t>a, kojim su određeni uvjeti z</w:t>
      </w:r>
      <w:r w:rsidR="0013188A" w:rsidRPr="0013188A">
        <w:rPr>
          <w:sz w:val="24"/>
          <w:szCs w:val="24"/>
          <w:lang w:val="hr-HR"/>
        </w:rPr>
        <w:t>a izvođenje nastavnog plana i programa školsk</w:t>
      </w:r>
      <w:r w:rsidR="0013188A">
        <w:rPr>
          <w:sz w:val="24"/>
          <w:szCs w:val="24"/>
          <w:lang w:val="hr-HR"/>
        </w:rPr>
        <w:t>e</w:t>
      </w:r>
      <w:r w:rsidR="0013188A" w:rsidRPr="0013188A">
        <w:rPr>
          <w:sz w:val="24"/>
          <w:szCs w:val="24"/>
          <w:lang w:val="hr-HR"/>
        </w:rPr>
        <w:t xml:space="preserve"> ustanov</w:t>
      </w:r>
      <w:r w:rsidR="0013188A">
        <w:rPr>
          <w:sz w:val="24"/>
          <w:szCs w:val="24"/>
          <w:lang w:val="hr-HR"/>
        </w:rPr>
        <w:t>e, odnosno</w:t>
      </w:r>
      <w:r w:rsidR="0013188A" w:rsidRPr="0013188A">
        <w:rPr>
          <w:sz w:val="24"/>
          <w:szCs w:val="24"/>
          <w:lang w:val="hr-HR"/>
        </w:rPr>
        <w:t xml:space="preserve"> potreban broj stručnih osoba,</w:t>
      </w:r>
      <w:r w:rsidR="0013188A">
        <w:rPr>
          <w:sz w:val="24"/>
          <w:szCs w:val="24"/>
          <w:lang w:val="hr-HR"/>
        </w:rPr>
        <w:t xml:space="preserve"> </w:t>
      </w:r>
      <w:r w:rsidR="0013188A" w:rsidRPr="0013188A">
        <w:rPr>
          <w:sz w:val="24"/>
          <w:szCs w:val="24"/>
          <w:lang w:val="hr-HR"/>
        </w:rPr>
        <w:t>odgovarajući prostor i oprem</w:t>
      </w:r>
      <w:r w:rsidR="0013188A">
        <w:rPr>
          <w:sz w:val="24"/>
          <w:szCs w:val="24"/>
          <w:lang w:val="hr-HR"/>
        </w:rPr>
        <w:t>a</w:t>
      </w:r>
      <w:r w:rsidR="0013188A" w:rsidRPr="0013188A">
        <w:rPr>
          <w:sz w:val="24"/>
          <w:szCs w:val="24"/>
          <w:lang w:val="hr-HR"/>
        </w:rPr>
        <w:t>,</w:t>
      </w:r>
      <w:r w:rsidR="0013188A">
        <w:rPr>
          <w:sz w:val="24"/>
          <w:szCs w:val="24"/>
          <w:lang w:val="hr-HR"/>
        </w:rPr>
        <w:t xml:space="preserve"> </w:t>
      </w:r>
      <w:r w:rsidR="0013188A" w:rsidRPr="0013188A">
        <w:rPr>
          <w:sz w:val="24"/>
          <w:szCs w:val="24"/>
          <w:lang w:val="hr-HR"/>
        </w:rPr>
        <w:t>tehničk</w:t>
      </w:r>
      <w:r w:rsidR="0013188A">
        <w:rPr>
          <w:sz w:val="24"/>
          <w:szCs w:val="24"/>
          <w:lang w:val="hr-HR"/>
        </w:rPr>
        <w:t>i</w:t>
      </w:r>
      <w:r w:rsidR="0013188A" w:rsidRPr="0013188A">
        <w:rPr>
          <w:sz w:val="24"/>
          <w:szCs w:val="24"/>
          <w:lang w:val="hr-HR"/>
        </w:rPr>
        <w:t>, zdravstven</w:t>
      </w:r>
      <w:r w:rsidR="0013188A">
        <w:rPr>
          <w:sz w:val="24"/>
          <w:szCs w:val="24"/>
          <w:lang w:val="hr-HR"/>
        </w:rPr>
        <w:t>i</w:t>
      </w:r>
      <w:r w:rsidR="0013188A" w:rsidRPr="0013188A">
        <w:rPr>
          <w:sz w:val="24"/>
          <w:szCs w:val="24"/>
          <w:lang w:val="hr-HR"/>
        </w:rPr>
        <w:t xml:space="preserve"> i ekološk</w:t>
      </w:r>
      <w:r w:rsidR="0013188A">
        <w:rPr>
          <w:sz w:val="24"/>
          <w:szCs w:val="24"/>
          <w:lang w:val="hr-HR"/>
        </w:rPr>
        <w:t>i</w:t>
      </w:r>
      <w:r w:rsidR="0013188A" w:rsidRPr="0013188A">
        <w:rPr>
          <w:sz w:val="24"/>
          <w:szCs w:val="24"/>
          <w:lang w:val="hr-HR"/>
        </w:rPr>
        <w:t xml:space="preserve"> uvjet</w:t>
      </w:r>
      <w:r w:rsidR="0013188A">
        <w:rPr>
          <w:sz w:val="24"/>
          <w:szCs w:val="24"/>
          <w:lang w:val="hr-HR"/>
        </w:rPr>
        <w:t>i</w:t>
      </w:r>
      <w:r w:rsidR="0013188A" w:rsidRPr="0013188A">
        <w:rPr>
          <w:sz w:val="24"/>
          <w:szCs w:val="24"/>
          <w:lang w:val="hr-HR"/>
        </w:rPr>
        <w:t>.</w:t>
      </w:r>
    </w:p>
    <w:p w14:paraId="2589248D" w14:textId="35C3469C" w:rsidR="001B65E3" w:rsidRDefault="001B65E3" w:rsidP="001B65E3">
      <w:pPr>
        <w:tabs>
          <w:tab w:val="left" w:pos="993"/>
        </w:tabs>
        <w:rPr>
          <w:bCs/>
          <w:sz w:val="24"/>
          <w:szCs w:val="24"/>
          <w:lang w:val="hr-HR"/>
        </w:rPr>
      </w:pPr>
      <w:r w:rsidRPr="001B65E3">
        <w:rPr>
          <w:sz w:val="24"/>
          <w:szCs w:val="24"/>
          <w:lang w:val="hr-HR"/>
        </w:rPr>
        <w:t xml:space="preserve">Člankom </w:t>
      </w:r>
      <w:r>
        <w:rPr>
          <w:sz w:val="24"/>
          <w:szCs w:val="24"/>
          <w:lang w:val="hr-HR"/>
        </w:rPr>
        <w:t>92. stavkom 9. Zakona određeno je a</w:t>
      </w:r>
      <w:r w:rsidRPr="001B65E3">
        <w:rPr>
          <w:sz w:val="24"/>
          <w:szCs w:val="24"/>
          <w:lang w:val="hr-HR"/>
        </w:rPr>
        <w:t>ko se tijekom obavljanja djelatnosti promijeni sjedište školske ustanove, odnosno prostor u kojemu školska ustanova obavlja djelatnost ili dio djelatnosti, ili ako se djelatnost za koju je školska ustanova osnovana proširuje izvođenjem novih programa obrazovanja osnovnog ili srednjeg školstva, ili mijenja program obrazovanja, školska ustanova je dužna prije početka rada u promijenjenim uvjetima podnijeti zahtjev Ministarstvu za izdavanje rješenja o radu u promijenjenim uvjetima.</w:t>
      </w:r>
      <w:r>
        <w:rPr>
          <w:sz w:val="24"/>
          <w:szCs w:val="24"/>
          <w:lang w:val="hr-HR"/>
        </w:rPr>
        <w:t xml:space="preserve"> Slijedom navedenog, školska ustanova će nakon dobivanja prethodne suglasnosti Gradskoga vijeća na Odluku o proširenju djelatnosti zatražiti od nadležnog Ministarstva izdavanje </w:t>
      </w:r>
      <w:r w:rsidRPr="001B65E3">
        <w:rPr>
          <w:sz w:val="24"/>
          <w:szCs w:val="24"/>
          <w:lang w:val="hr-HR"/>
        </w:rPr>
        <w:t>rješenja o radu u promijenjenim uvjetima</w:t>
      </w:r>
      <w:r>
        <w:rPr>
          <w:sz w:val="24"/>
          <w:szCs w:val="24"/>
          <w:lang w:val="hr-HR"/>
        </w:rPr>
        <w:t xml:space="preserve">. Nakon dobivenog rješenja </w:t>
      </w:r>
      <w:r w:rsidRPr="001B65E3">
        <w:rPr>
          <w:sz w:val="24"/>
          <w:szCs w:val="24"/>
          <w:lang w:val="hr-HR"/>
        </w:rPr>
        <w:t>Školski odbor</w:t>
      </w:r>
      <w:r>
        <w:rPr>
          <w:sz w:val="24"/>
          <w:szCs w:val="24"/>
          <w:lang w:val="hr-HR"/>
        </w:rPr>
        <w:t xml:space="preserve"> je dužan</w:t>
      </w:r>
      <w:r w:rsidRPr="001B65E3">
        <w:rPr>
          <w:sz w:val="24"/>
          <w:szCs w:val="24"/>
          <w:lang w:val="hr-HR"/>
        </w:rPr>
        <w:t xml:space="preserve"> </w:t>
      </w:r>
      <w:r>
        <w:rPr>
          <w:sz w:val="24"/>
          <w:szCs w:val="24"/>
          <w:lang w:val="hr-HR"/>
        </w:rPr>
        <w:t>donijeti prijedlog</w:t>
      </w:r>
      <w:r w:rsidRPr="001B65E3">
        <w:rPr>
          <w:sz w:val="24"/>
          <w:szCs w:val="24"/>
          <w:lang w:val="hr-HR"/>
        </w:rPr>
        <w:t xml:space="preserve"> odluk</w:t>
      </w:r>
      <w:r>
        <w:rPr>
          <w:sz w:val="24"/>
          <w:szCs w:val="24"/>
          <w:lang w:val="hr-HR"/>
        </w:rPr>
        <w:t>e</w:t>
      </w:r>
      <w:r w:rsidRPr="001B65E3">
        <w:rPr>
          <w:sz w:val="24"/>
          <w:szCs w:val="24"/>
          <w:lang w:val="hr-HR"/>
        </w:rPr>
        <w:t xml:space="preserve"> o izmjeni i dopuni Statuta u kojoj se proširuje djelatnost</w:t>
      </w:r>
      <w:r w:rsidR="00C3332E">
        <w:rPr>
          <w:sz w:val="24"/>
          <w:szCs w:val="24"/>
          <w:lang w:val="hr-HR"/>
        </w:rPr>
        <w:t>,</w:t>
      </w:r>
      <w:r>
        <w:rPr>
          <w:sz w:val="24"/>
          <w:szCs w:val="24"/>
          <w:lang w:val="hr-HR"/>
        </w:rPr>
        <w:t xml:space="preserve"> na prethodnu suglasnost Gradskoga vijeća.</w:t>
      </w:r>
    </w:p>
    <w:p w14:paraId="1FE48E15" w14:textId="77777777" w:rsidR="0096664E" w:rsidRDefault="0096664E" w:rsidP="0096664E">
      <w:pPr>
        <w:jc w:val="both"/>
        <w:rPr>
          <w:bCs/>
          <w:sz w:val="24"/>
          <w:szCs w:val="24"/>
          <w:lang w:val="hr-HR"/>
        </w:rPr>
      </w:pPr>
      <w:r>
        <w:rPr>
          <w:b/>
          <w:bCs/>
          <w:sz w:val="24"/>
          <w:szCs w:val="24"/>
          <w:lang w:val="hr-HR"/>
        </w:rPr>
        <w:t>Osnovna pitanja koja treba urediti Odlukom:</w:t>
      </w:r>
      <w:r>
        <w:rPr>
          <w:bCs/>
          <w:sz w:val="24"/>
          <w:szCs w:val="24"/>
          <w:lang w:val="hr-HR"/>
        </w:rPr>
        <w:t xml:space="preserve"> </w:t>
      </w:r>
    </w:p>
    <w:p w14:paraId="1E2B7C98" w14:textId="67FCEB3A" w:rsidR="0096664E" w:rsidRDefault="0096664E" w:rsidP="0096664E">
      <w:pPr>
        <w:jc w:val="both"/>
        <w:rPr>
          <w:bCs/>
          <w:sz w:val="24"/>
          <w:szCs w:val="24"/>
          <w:lang w:val="hr-HR"/>
        </w:rPr>
      </w:pPr>
      <w:r>
        <w:rPr>
          <w:bCs/>
          <w:sz w:val="24"/>
          <w:szCs w:val="24"/>
          <w:lang w:val="hr-HR"/>
        </w:rPr>
        <w:t>Predloženom Odlukom daje se</w:t>
      </w:r>
      <w:r w:rsidR="009765C7">
        <w:rPr>
          <w:bCs/>
          <w:sz w:val="24"/>
          <w:szCs w:val="24"/>
          <w:lang w:val="hr-HR"/>
        </w:rPr>
        <w:t xml:space="preserve"> prethodna</w:t>
      </w:r>
      <w:r>
        <w:rPr>
          <w:bCs/>
          <w:sz w:val="24"/>
          <w:szCs w:val="24"/>
          <w:lang w:val="hr-HR"/>
        </w:rPr>
        <w:t xml:space="preserve"> suglasnost Umjetničkoj školi</w:t>
      </w:r>
      <w:r w:rsidR="00DA60F7">
        <w:rPr>
          <w:bCs/>
          <w:sz w:val="24"/>
          <w:szCs w:val="24"/>
          <w:lang w:val="hr-HR"/>
        </w:rPr>
        <w:t xml:space="preserve"> Poreč</w:t>
      </w:r>
      <w:r>
        <w:rPr>
          <w:bCs/>
          <w:sz w:val="24"/>
          <w:szCs w:val="24"/>
          <w:lang w:val="hr-HR"/>
        </w:rPr>
        <w:t xml:space="preserve"> na </w:t>
      </w:r>
      <w:r w:rsidR="009765C7">
        <w:rPr>
          <w:bCs/>
          <w:sz w:val="24"/>
          <w:szCs w:val="24"/>
          <w:lang w:val="hr-HR"/>
        </w:rPr>
        <w:t xml:space="preserve">prijedlog </w:t>
      </w:r>
      <w:r w:rsidR="009765C7" w:rsidRPr="009765C7">
        <w:rPr>
          <w:bCs/>
          <w:iCs/>
          <w:sz w:val="24"/>
          <w:szCs w:val="24"/>
          <w:lang w:val="hr-HR"/>
        </w:rPr>
        <w:t>Odluke o proširenju djelatnosti</w:t>
      </w:r>
      <w:r w:rsidR="003C1122" w:rsidRPr="003C1122">
        <w:rPr>
          <w:bCs/>
          <w:sz w:val="24"/>
          <w:szCs w:val="24"/>
          <w:lang w:val="hr-HR"/>
        </w:rPr>
        <w:t xml:space="preserve"> </w:t>
      </w:r>
      <w:r w:rsidR="003C1122">
        <w:rPr>
          <w:bCs/>
          <w:sz w:val="24"/>
          <w:szCs w:val="24"/>
          <w:lang w:val="hr-HR"/>
        </w:rPr>
        <w:t>uvođenjem programa tambure, udaraljke, saksofon i klarinet.</w:t>
      </w:r>
    </w:p>
    <w:p w14:paraId="05579935" w14:textId="77777777" w:rsidR="0096664E" w:rsidRDefault="0096664E" w:rsidP="0096664E">
      <w:pPr>
        <w:jc w:val="both"/>
        <w:rPr>
          <w:b/>
          <w:bCs/>
          <w:sz w:val="24"/>
          <w:szCs w:val="24"/>
          <w:lang w:val="hr-HR"/>
        </w:rPr>
      </w:pPr>
      <w:r>
        <w:rPr>
          <w:b/>
          <w:bCs/>
          <w:sz w:val="24"/>
          <w:szCs w:val="24"/>
          <w:lang w:val="hr-HR"/>
        </w:rPr>
        <w:t>Cilj donošenja Odluke:</w:t>
      </w:r>
    </w:p>
    <w:p w14:paraId="45558D8F" w14:textId="70225B13" w:rsidR="003C1122" w:rsidRDefault="003C1122" w:rsidP="0096664E">
      <w:pPr>
        <w:jc w:val="both"/>
        <w:rPr>
          <w:sz w:val="24"/>
          <w:szCs w:val="24"/>
          <w:lang w:val="hr-HR"/>
        </w:rPr>
      </w:pPr>
      <w:r w:rsidRPr="003C1122">
        <w:rPr>
          <w:sz w:val="24"/>
          <w:szCs w:val="24"/>
          <w:lang w:val="hr-HR"/>
        </w:rPr>
        <w:t xml:space="preserve">Cilj donošenja ove Odluke jest omogućiti proširenje </w:t>
      </w:r>
      <w:r w:rsidR="00C3332E">
        <w:rPr>
          <w:sz w:val="24"/>
          <w:szCs w:val="24"/>
          <w:lang w:val="hr-HR"/>
        </w:rPr>
        <w:t>djelatnosti</w:t>
      </w:r>
      <w:r w:rsidRPr="003C1122">
        <w:rPr>
          <w:sz w:val="24"/>
          <w:szCs w:val="24"/>
          <w:lang w:val="hr-HR"/>
        </w:rPr>
        <w:t xml:space="preserve"> Škole u skladu s izraženim potrebama zajednice, unaprijediti kvalitetu glazbenog obrazovanja u Gradu Poreču-Parenzo te proširiti dostupnost obrazovanja u različitim instrumentima u svrhu sveobuhvatnog umjetničkog razvoja djece i mladih.</w:t>
      </w:r>
    </w:p>
    <w:p w14:paraId="04BCE3A1" w14:textId="77777777" w:rsidR="0096664E" w:rsidRDefault="0096664E" w:rsidP="0096664E">
      <w:pPr>
        <w:jc w:val="both"/>
        <w:rPr>
          <w:b/>
          <w:bCs/>
          <w:sz w:val="24"/>
          <w:szCs w:val="24"/>
          <w:lang w:val="hr-HR"/>
        </w:rPr>
      </w:pPr>
      <w:r>
        <w:rPr>
          <w:b/>
          <w:bCs/>
          <w:sz w:val="24"/>
          <w:szCs w:val="24"/>
          <w:lang w:val="hr-HR"/>
        </w:rPr>
        <w:lastRenderedPageBreak/>
        <w:t>Sredstva potrebna za ostvarenje Odluke:</w:t>
      </w:r>
    </w:p>
    <w:p w14:paraId="450A3185" w14:textId="0D03F1A9" w:rsidR="009765C7" w:rsidRPr="009765C7" w:rsidRDefault="009765C7" w:rsidP="001B65E3">
      <w:pPr>
        <w:tabs>
          <w:tab w:val="left" w:pos="993"/>
        </w:tabs>
        <w:rPr>
          <w:bCs/>
          <w:sz w:val="24"/>
          <w:szCs w:val="24"/>
          <w:lang w:val="hr-HR"/>
        </w:rPr>
      </w:pPr>
      <w:r w:rsidRPr="009765C7">
        <w:rPr>
          <w:bCs/>
          <w:sz w:val="24"/>
          <w:szCs w:val="24"/>
          <w:lang w:val="hr-HR"/>
        </w:rPr>
        <w:t xml:space="preserve">Za ostvarenje predložene Odluke nisu potrebna sredstva iz Proračuna Grada Poreča-Parenzo. </w:t>
      </w:r>
    </w:p>
    <w:p w14:paraId="05C3598D" w14:textId="01D8C634" w:rsidR="000A0604" w:rsidRDefault="000A0604" w:rsidP="001B65E3">
      <w:pPr>
        <w:tabs>
          <w:tab w:val="left" w:pos="993"/>
        </w:tabs>
        <w:rPr>
          <w:b/>
          <w:bCs/>
          <w:sz w:val="28"/>
          <w:szCs w:val="28"/>
          <w:lang w:val="hr-HR"/>
        </w:rPr>
      </w:pPr>
      <w:r>
        <w:rPr>
          <w:b/>
          <w:bCs/>
          <w:sz w:val="28"/>
          <w:szCs w:val="28"/>
          <w:lang w:val="hr-HR"/>
        </w:rPr>
        <w:t xml:space="preserve"> </w:t>
      </w:r>
    </w:p>
    <w:sectPr w:rsidR="000A0604" w:rsidSect="007C4DC5">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6D2E58"/>
    <w:multiLevelType w:val="hybridMultilevel"/>
    <w:tmpl w:val="C2DAB4F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175B3F3B"/>
    <w:multiLevelType w:val="hybridMultilevel"/>
    <w:tmpl w:val="FB70B8F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412C04BF"/>
    <w:multiLevelType w:val="hybridMultilevel"/>
    <w:tmpl w:val="6C0A226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687E797A"/>
    <w:multiLevelType w:val="hybridMultilevel"/>
    <w:tmpl w:val="13C23D6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75451D60"/>
    <w:multiLevelType w:val="hybridMultilevel"/>
    <w:tmpl w:val="79C4D4E6"/>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num w:numId="1">
    <w:abstractNumId w:val="4"/>
  </w:num>
  <w:num w:numId="2">
    <w:abstractNumId w:val="2"/>
  </w:num>
  <w:num w:numId="3">
    <w:abstractNumId w:val="0"/>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D5D"/>
    <w:rsid w:val="00085129"/>
    <w:rsid w:val="000A0604"/>
    <w:rsid w:val="0013188A"/>
    <w:rsid w:val="00185F47"/>
    <w:rsid w:val="001A048B"/>
    <w:rsid w:val="001B65E3"/>
    <w:rsid w:val="002007F3"/>
    <w:rsid w:val="00252E97"/>
    <w:rsid w:val="002B14FE"/>
    <w:rsid w:val="00312A42"/>
    <w:rsid w:val="003C1122"/>
    <w:rsid w:val="003C6D44"/>
    <w:rsid w:val="004108A4"/>
    <w:rsid w:val="004B2959"/>
    <w:rsid w:val="004E7C6A"/>
    <w:rsid w:val="00536C48"/>
    <w:rsid w:val="00593489"/>
    <w:rsid w:val="005946A7"/>
    <w:rsid w:val="005A44DD"/>
    <w:rsid w:val="005B0B59"/>
    <w:rsid w:val="005C09F7"/>
    <w:rsid w:val="005C5AA9"/>
    <w:rsid w:val="006033B6"/>
    <w:rsid w:val="006045B4"/>
    <w:rsid w:val="006437CF"/>
    <w:rsid w:val="006438A6"/>
    <w:rsid w:val="00653B04"/>
    <w:rsid w:val="006570C0"/>
    <w:rsid w:val="007164A8"/>
    <w:rsid w:val="00732A2A"/>
    <w:rsid w:val="00776E23"/>
    <w:rsid w:val="007A13A3"/>
    <w:rsid w:val="007B250F"/>
    <w:rsid w:val="007C4DC5"/>
    <w:rsid w:val="007D12C0"/>
    <w:rsid w:val="007F3E7C"/>
    <w:rsid w:val="007F4D5D"/>
    <w:rsid w:val="0081592E"/>
    <w:rsid w:val="0082433D"/>
    <w:rsid w:val="00860AF5"/>
    <w:rsid w:val="0096664E"/>
    <w:rsid w:val="009765C7"/>
    <w:rsid w:val="009775EC"/>
    <w:rsid w:val="00A00B4A"/>
    <w:rsid w:val="00A05925"/>
    <w:rsid w:val="00A4004B"/>
    <w:rsid w:val="00A56F82"/>
    <w:rsid w:val="00A82307"/>
    <w:rsid w:val="00AA5C1C"/>
    <w:rsid w:val="00B35156"/>
    <w:rsid w:val="00BA3E56"/>
    <w:rsid w:val="00BB4016"/>
    <w:rsid w:val="00BF697E"/>
    <w:rsid w:val="00C3332E"/>
    <w:rsid w:val="00C35DDB"/>
    <w:rsid w:val="00C57AEB"/>
    <w:rsid w:val="00D41B71"/>
    <w:rsid w:val="00D55D78"/>
    <w:rsid w:val="00DA60F7"/>
    <w:rsid w:val="00E003FC"/>
    <w:rsid w:val="00E0065F"/>
    <w:rsid w:val="00E3689F"/>
    <w:rsid w:val="00E97954"/>
    <w:rsid w:val="00EA054D"/>
    <w:rsid w:val="00EA12D0"/>
    <w:rsid w:val="00EE163D"/>
    <w:rsid w:val="00F93CD1"/>
    <w:rsid w:val="00FB50FD"/>
    <w:rsid w:val="00FC0DEB"/>
    <w:rsid w:val="00FE17AE"/>
    <w:rsid w:val="00FF73ED"/>
  </w:rsids>
  <m:mathPr>
    <m:mathFont m:val="Cambria Math"/>
    <m:brkBin m:val="before"/>
    <m:brkBinSub m:val="--"/>
    <m:smallFrac m:val="0"/>
    <m:dispDef/>
    <m:lMargin m:val="0"/>
    <m:rMargin m:val="0"/>
    <m:defJc m:val="centerGroup"/>
    <m:wrapIndent m:val="1440"/>
    <m:intLim m:val="subSup"/>
    <m:naryLim m:val="undOvr"/>
  </m:mathPr>
  <w:themeFontLang w:val="hr-HR"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A345E"/>
  <w15:docId w15:val="{B58B9CFB-4C6C-4BA6-86AC-C1473E1A9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4D5D"/>
    <w:pPr>
      <w:spacing w:after="0" w:line="240" w:lineRule="auto"/>
    </w:pPr>
    <w:rPr>
      <w:rFonts w:ascii="Times New Roman" w:eastAsia="Times New Roman" w:hAnsi="Times New Roman" w:cs="Times New Roman"/>
      <w:sz w:val="20"/>
      <w:szCs w:val="20"/>
      <w:lang w:val="en-AU"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1"/>
    <w:qFormat/>
    <w:rsid w:val="007F4D5D"/>
    <w:pPr>
      <w:spacing w:after="0" w:line="240" w:lineRule="auto"/>
    </w:pPr>
    <w:rPr>
      <w:rFonts w:ascii="Times New Roman" w:eastAsia="Times New Roman" w:hAnsi="Times New Roman" w:cs="Times New Roman"/>
      <w:sz w:val="20"/>
      <w:szCs w:val="20"/>
      <w:lang w:val="en-AU" w:eastAsia="hr-HR"/>
    </w:rPr>
  </w:style>
  <w:style w:type="paragraph" w:styleId="Odlomakpopisa">
    <w:name w:val="List Paragraph"/>
    <w:basedOn w:val="Normal"/>
    <w:uiPriority w:val="34"/>
    <w:qFormat/>
    <w:rsid w:val="007F4D5D"/>
    <w:pPr>
      <w:ind w:left="720"/>
      <w:contextualSpacing/>
    </w:pPr>
  </w:style>
  <w:style w:type="paragraph" w:styleId="Tekstbalonia">
    <w:name w:val="Balloon Text"/>
    <w:basedOn w:val="Normal"/>
    <w:link w:val="TekstbaloniaChar"/>
    <w:uiPriority w:val="99"/>
    <w:semiHidden/>
    <w:unhideWhenUsed/>
    <w:rsid w:val="007F4D5D"/>
    <w:rPr>
      <w:rFonts w:ascii="Tahoma" w:hAnsi="Tahoma" w:cs="Tahoma"/>
      <w:sz w:val="16"/>
      <w:szCs w:val="16"/>
    </w:rPr>
  </w:style>
  <w:style w:type="character" w:customStyle="1" w:styleId="TekstbaloniaChar">
    <w:name w:val="Tekst balončića Char"/>
    <w:basedOn w:val="Zadanifontodlomka"/>
    <w:link w:val="Tekstbalonia"/>
    <w:uiPriority w:val="99"/>
    <w:semiHidden/>
    <w:rsid w:val="007F4D5D"/>
    <w:rPr>
      <w:rFonts w:ascii="Tahoma" w:eastAsia="Times New Roman" w:hAnsi="Tahoma" w:cs="Tahoma"/>
      <w:sz w:val="16"/>
      <w:szCs w:val="16"/>
      <w:lang w:val="en-AU" w:eastAsia="hr-HR"/>
    </w:rPr>
  </w:style>
  <w:style w:type="character" w:styleId="Hiperveza">
    <w:name w:val="Hyperlink"/>
    <w:basedOn w:val="Zadanifontodlomka"/>
    <w:uiPriority w:val="99"/>
    <w:unhideWhenUsed/>
    <w:rsid w:val="000A0604"/>
    <w:rPr>
      <w:color w:val="0000FF" w:themeColor="hyperlink"/>
      <w:u w:val="single"/>
    </w:rPr>
  </w:style>
  <w:style w:type="character" w:styleId="Nerijeenospominjanje">
    <w:name w:val="Unresolved Mention"/>
    <w:basedOn w:val="Zadanifontodlomka"/>
    <w:uiPriority w:val="99"/>
    <w:semiHidden/>
    <w:unhideWhenUsed/>
    <w:rsid w:val="000A06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2924452">
      <w:bodyDiv w:val="1"/>
      <w:marLeft w:val="0"/>
      <w:marRight w:val="0"/>
      <w:marTop w:val="0"/>
      <w:marBottom w:val="0"/>
      <w:divBdr>
        <w:top w:val="none" w:sz="0" w:space="0" w:color="auto"/>
        <w:left w:val="none" w:sz="0" w:space="0" w:color="auto"/>
        <w:bottom w:val="none" w:sz="0" w:space="0" w:color="auto"/>
        <w:right w:val="none" w:sz="0" w:space="0" w:color="auto"/>
      </w:divBdr>
    </w:div>
    <w:div w:id="1694912883">
      <w:bodyDiv w:val="1"/>
      <w:marLeft w:val="0"/>
      <w:marRight w:val="0"/>
      <w:marTop w:val="0"/>
      <w:marBottom w:val="0"/>
      <w:divBdr>
        <w:top w:val="none" w:sz="0" w:space="0" w:color="auto"/>
        <w:left w:val="none" w:sz="0" w:space="0" w:color="auto"/>
        <w:bottom w:val="none" w:sz="0" w:space="0" w:color="auto"/>
        <w:right w:val="none" w:sz="0" w:space="0" w:color="auto"/>
      </w:divBdr>
      <w:divsChild>
        <w:div w:id="629894394">
          <w:marLeft w:val="-225"/>
          <w:marRight w:val="-225"/>
          <w:marTop w:val="0"/>
          <w:marBottom w:val="0"/>
          <w:divBdr>
            <w:top w:val="none" w:sz="0" w:space="0" w:color="auto"/>
            <w:left w:val="none" w:sz="0" w:space="0" w:color="auto"/>
            <w:bottom w:val="none" w:sz="0" w:space="0" w:color="auto"/>
            <w:right w:val="none" w:sz="0" w:space="0" w:color="auto"/>
          </w:divBdr>
        </w:div>
        <w:div w:id="1433626859">
          <w:marLeft w:val="-225"/>
          <w:marRight w:val="-225"/>
          <w:marTop w:val="0"/>
          <w:marBottom w:val="0"/>
          <w:divBdr>
            <w:top w:val="none" w:sz="0" w:space="0" w:color="auto"/>
            <w:left w:val="none" w:sz="0" w:space="0" w:color="auto"/>
            <w:bottom w:val="none" w:sz="0" w:space="0" w:color="auto"/>
            <w:right w:val="none" w:sz="0" w:space="0" w:color="auto"/>
          </w:divBdr>
        </w:div>
        <w:div w:id="587227432">
          <w:marLeft w:val="-225"/>
          <w:marRight w:val="-225"/>
          <w:marTop w:val="0"/>
          <w:marBottom w:val="0"/>
          <w:divBdr>
            <w:top w:val="none" w:sz="0" w:space="0" w:color="auto"/>
            <w:left w:val="none" w:sz="0" w:space="0" w:color="auto"/>
            <w:bottom w:val="none" w:sz="0" w:space="0" w:color="auto"/>
            <w:right w:val="none" w:sz="0" w:space="0" w:color="auto"/>
          </w:divBdr>
        </w:div>
        <w:div w:id="1467049063">
          <w:marLeft w:val="-225"/>
          <w:marRight w:val="-225"/>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wmf"/><Relationship Id="rId5"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946</Words>
  <Characters>5397</Characters>
  <Application>Microsoft Office Word</Application>
  <DocSecurity>0</DocSecurity>
  <Lines>44</Lines>
  <Paragraphs>12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Lea Štifanić</dc:creator>
  <cp:lastModifiedBy>Maja Šimonović Cvitko</cp:lastModifiedBy>
  <cp:revision>2</cp:revision>
  <cp:lastPrinted>2025-10-06T06:36:00Z</cp:lastPrinted>
  <dcterms:created xsi:type="dcterms:W3CDTF">2025-10-06T12:07:00Z</dcterms:created>
  <dcterms:modified xsi:type="dcterms:W3CDTF">2025-10-06T12:07:00Z</dcterms:modified>
</cp:coreProperties>
</file>